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22 259 vom 13. Januar 2017</w:t>
      </w:r>
    </w:p>
    <w:p>
      <w:r>
        <w:t>BL Gerichte, 2017-01-13, DE</w:t>
      </w:r>
    </w:p>
    <w:p>
      <w:r>
        <w:rPr>
          <w:b/>
        </w:rPr>
        <w:t xml:space="preserve">Quelle: </w:t>
      </w:r>
      <w:r>
        <w:t>https://mcp.opencaselaw.ch/entscheid/bl_gerichte_810_22_259</w:t>
      </w:r>
    </w:p>
    <w:p>
      <w:r>
        <w:t>FR: BL_GERICHTE 810 22 259 du 13 janvier 2017</w:t>
      </w:r>
    </w:p>
    <w:p>
      <w:r>
        <w:t>IT: BL_GERICHTE 810 22 259 del 13 gennaio 2017</w:t>
      </w:r>
    </w:p>
    <w:p>
      <w:pPr>
        <w:pStyle w:val="Heading2"/>
      </w:pPr>
      <w:r>
        <w:t>Regeste</w:t>
      </w:r>
    </w:p>
    <w:p>
      <w:r>
        <w:t>Weisung an Kindsmutter</w:t>
      </w:r>
    </w:p>
    <w:p>
      <w:pPr>
        <w:pStyle w:val="Heading2"/>
      </w:pPr>
      <w:r>
        <w:t>Erwägungen</w:t>
      </w:r>
    </w:p>
    <w:p>
      <w:r>
        <w:rPr>
          <w:b/>
        </w:rPr>
        <w:t>E. 1</w:t>
      </w:r>
    </w:p>
    <w:p>
      <w:r>
        <w:t>Gemäss Art. 450 Abs. 1 des Schweizerischen Zivilgesetzbuches (ZGB) vom 10. Dezember 1907 i.V.m. Art. 314 Abs. 1 ZGB kann gegen Entscheide einer Kindesschutzbehörde Beschwerde beim zuständigen Gericht erhoben werden. § 66 Abs. 1 des kantonalen Gesetzes über die Einführung des Zivilgesetzbuchs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Beschwerdeführerin ist als direkte Verfahrensbeteiligte zur Beschwerdeerhebung legitimiert. Da auch die übrigen Prozessvoraussetzungen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Die Parteikosten werden wettgeschlagen. Zufolge Bewilligung der unentgeltlichen Verbeiständung wird der Rechtsvertreterin der Beschwerdeführerin ein Honorar in der Höhe von pauschal Fr. 2'000.-- (inkl. Auslagen und 7.7% MWST) aus der Gerichtskasse ausgerichtet. Kantonsrichter Gerichtsschreiber Gegen diesen Entscheid wurde am 17. Mai 2023 Beschwerde beim Bundesgericht (Verfahrensnummer 5A_375/2023)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