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22 156 vom 18. Januar 2023</w:t>
      </w:r>
    </w:p>
    <w:p>
      <w:r>
        <w:t>BL Gerichte, 2023-01-18, DE</w:t>
      </w:r>
    </w:p>
    <w:p>
      <w:r>
        <w:rPr>
          <w:b/>
        </w:rPr>
        <w:t xml:space="preserve">Quelle: </w:t>
      </w:r>
      <w:r>
        <w:t>https://mcp.opencaselaw.ch/entscheid/bl_gerichte_810_22_156</w:t>
      </w:r>
    </w:p>
    <w:p>
      <w:r>
        <w:t>FR: BL_GERICHTE 810 22 156 du 18 janvier 2023</w:t>
      </w:r>
    </w:p>
    <w:p>
      <w:r>
        <w:t>IT: BL_GERICHTE 810 22 156 del 18 gennaio 2023</w:t>
      </w:r>
    </w:p>
    <w:p>
      <w:pPr>
        <w:pStyle w:val="Heading2"/>
      </w:pPr>
      <w:r>
        <w:t>Regeste</w:t>
      </w:r>
    </w:p>
    <w:p>
      <w:r>
        <w:t>Regelung des persönlichen Verkehrs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der Beschwerdeführer um unentgeltliche Prozessführung und Verbeiständung wird abgewiesen.</w:t>
      </w:r>
    </w:p>
    <w:p>
      <w:r>
        <w:rPr>
          <w:b/>
        </w:rPr>
        <w:t>E. 3</w:t>
      </w:r>
    </w:p>
    <w:p>
      <w:r>
        <w:t>Die Verfahrenskosten in der Höhe von Fr. 1'500.-- werden im Umfang von Fr. 300.-- der Vorinstanz und im Umfang von Fr. 1'200.-- den Beschwerdeführern auferlegt.</w:t>
      </w:r>
    </w:p>
    <w:p>
      <w:r>
        <w:rPr>
          <w:b/>
        </w:rPr>
        <w:t>E. 4</w:t>
      </w:r>
    </w:p>
    <w:p>
      <w:r>
        <w:t>Den Beschwerdeführern wird eine reduzierte Parteientschädigung in der Höhe von pauschal Fr. 500.-- (inkl. Auslagen und 7.7% MWST) zulasten der Vorinstanz ausgerichtet. Die restlichen Parteikosten werden wettgeschlagen. Vizepräsident Gerichtsschreiber 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