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22 151 vom 7. Dezember 2022</w:t>
      </w:r>
    </w:p>
    <w:p>
      <w:r>
        <w:t>BL Gerichte, 2022-12-07, DE</w:t>
      </w:r>
    </w:p>
    <w:p>
      <w:r>
        <w:rPr>
          <w:b/>
        </w:rPr>
        <w:t xml:space="preserve">Quelle: </w:t>
      </w:r>
      <w:r>
        <w:t>https://mcp.opencaselaw.ch/entscheid/bl_gerichte_810_22_151</w:t>
      </w:r>
    </w:p>
    <w:p>
      <w:r>
        <w:t>FR: BL_GERICHTE 810 22 151 du 7 décembre 2022</w:t>
      </w:r>
    </w:p>
    <w:p>
      <w:r>
        <w:t>IT: BL_GERICHTE 810 22 151 del 7 dicembre 2022</w:t>
      </w:r>
    </w:p>
    <w:p>
      <w:pPr>
        <w:pStyle w:val="Heading2"/>
      </w:pPr>
      <w:r>
        <w:t>Regeste</w:t>
      </w:r>
    </w:p>
    <w:p>
      <w:r>
        <w:t>Grundstückgewinnsteuer</w:t>
      </w:r>
    </w:p>
    <w:p>
      <w:pPr>
        <w:pStyle w:val="Heading2"/>
      </w:pPr>
      <w:r>
        <w:t>Erwägungen</w:t>
      </w:r>
    </w:p>
    <w:p>
      <w:r>
        <w:rPr>
          <w:b/>
        </w:rPr>
        <w:t>E. 2</w:t>
      </w:r>
    </w:p>
    <w:p>
      <w:r>
        <w:t>Mit der Beschwerde in Steuersachen können gemäss § 45 Abs. 2 VPO alle Mängel des angefochtenen Entscheids und des vorangegangenen Verfahrens gerügt werden. Dem Kantonsgericht kommt im vorliegenden Fall somit volle Kognition zu. Das Kantonsgericht ist nach § 18 Abs. 3 VPO weiter nicht an die Begehren der Parteien gebunden, sondern es stehen ihm die gleichen Befugnisse zu wie den Einschätzungsbehörden. 3.1.1 Gewinne aus der Veräusserung von Grundstücken oder Anteilen an solchen unterliegen nach § 71 StG der Grundstückgewinnsteuer. Der Grundstückgewinn ist nach § 75 Abs. 1 StG der Betrag, um den der Veräusserungserlös die Gestehungskosten (Erwerbspreis und wertvermehrende Aufwendungen) übersteigt. Auch das Bundesgesetz über die Harmonisierung der direkten Steuern der Kantone und Gemeinden (StHG) vom 14. Dezember 1990 schreibt in Art. 12 Abs. 1 die Erhebung einer Grundstückgewinnsteuer vor. Darüber hinaus bleibt das StHG aber vage und enthält nur wenige Vorgaben an die Kantone (vgl. BGE 143 II 382 E. 2.1; Urteil des Bundesgerichts 2C_421/2018 vom 13. Mai 2019 E. 2.2; Bernhard Zwahlen/Natalie Nyffenegger , in: Martin Zweifel/Michael Beusch [Hrsg.], Kommentar zum Schweizerischen Steuerrecht, Bundesgesetz über die Harmonisierung der direkten Steuern der Kantone und Gemeinden, 3. Auflage, Basel 2017, N 2 zu Art. 12). Es äussert sich namentlich zur Ermittlung des steuerbaren Gewinns nur in allgemeiner Weise. Entsprechend den ihnen belassenen Freiräumen haben die Kantone die Besteuerung der Grundstückgewinne nicht einheitlich geregelt (vgl. BGE 134 II 124 E. 3.2; Urteil des Bundesgerichts 2C_589/2014 vom 27. März 2015 E. 3.2). Die basellandschaftliche Grundstückgewinnsteuer folgt dem monistischen System, welches auch Zürcher System genannt wird, und erfasst einheitlich sowohl private als auch geschäftliche Grundstückgewinne (Urteil des Bundesgerichts 2C_230/2017 vom 26. Januar 2018 E. 2.1.2; KGE VV vom 26. September 2018 [ 810 18 58] E. 3.3 ; Thomas P. Wenk , in Nefzger/Simonek/Wenk [Hrsg], Kommentar zum Steuergesetz des Kantons Basel-Landschaft, Basel 2004, N 5 zu § 71). 3.1.2 Als Erwerbspreis gilt nach § 77 Abs. 1 StG der Kaufpreis mit Einschluss aller weiteren Leistungen des Erwerbers. Ist der Kaufpreis nicht feststellbar, so gilt nach § 77 Abs. 2 StG als solcher der Verkehrswert im Zeitpunkt des Erwerbes. Liegt der Erwerb mehr als 20 Jahre zurück, so bestimmt sich der Erwerbspreis gemäss § 77 Abs. 3 StG nach dem Verkehrswert des Grundstückes vor 20 Jahren, sofern kein höherer Erwerbspreis nachweisbar ist. Gemäss konstanter Praxis der Steuerverwaltung sowie des Steuergerichts wird der Landwert nach der statistischen Methode ermittelt. Danach wird verglichen, welche Preise in der nahen Umgebung des fraglichen Grundstücks zur betreffenden Zeit bezahlt worden sind. Ausgangspunkt für die Verkehrswertschätzung nach der statistischen Methode bilden daher die vorhandenen Vergleichspreise. Dazu sind Vergleichspreise von Handänderungen unter Dritten heranzuziehen. Der so ermittelte Verkehrswert eines Grundstücks soll dem Preis entsprechen, der hierfür im gewöhnlichen Geschäftsverkehr im fraglichen Bewertungszeitpunkt am Ort der gelegenen Sache mutmasslich zu erzielen gewesen wäre. Man spricht auch vom mittleren Preis für Grundstücke gleicher oder ähnlicher Grösse, Lage und Beschaffenheit in der betreffenden Gegend (vgl. KGE VV 810 21 174 vom 2. Februar 2022 E. 5.4.3 mit Hinweisen; Wenk , a.a.O., N 8 f. zu § 77; Martin Zweifel/Silvia Hunziker/Olivier Margraf/Stefan Oesterhelt in: Schweizerisches Grundstückgewinnsteuerrecht, Zürich Basel Genf 2021, N 95 und 97 zu § 10). 3.1.3 Der für die Ermittlung des Grundstückgewinns massgebende, von Bundesrechts wegen zu beachtende Grundsatz der vergleichbaren Verhältnisse (sogenanntes Kongruenzprinzip) verlangt, dass sich Erlös und Anlagewert auf das umfänglich und inhaltlich gleiche Grundstück beziehen. Hat sich dessen tatsächliche oder rechtliche Beschaffenheit während der massgebenden Besitzesdauer geändert, so sind durch Zu- oder Abrechnungen vergleichbare Verhältnisse herzustellen. Demnach sind Substanzzunahmen bei der Ermittlung des Gewinns ebenso zu berücksichtigen wie Substanzabnahmen. Das Kongruenzprinzip ermöglicht es, mit der Grundstückgewinnsteuer den «unverdienten» Wertzuwachs auf einem Grundstück zu besteuern, nicht aber den Mehrwert, der durch objektbezogene Investitionen, namentlich durch Arbeit oder Kapital, geschaffen wurde. Weil sich der gesetzliche Steuertatbestand der Grundstückgewinnsteuer mit der Veräusserung verwirklicht, ist der Zeitpunkt der Veräusserung massgebend für die der Gewinnermittlung zugrunde zu legenden tatsächlichen und rechtlichen Verhältnisse. Der durch den Erlös abgegoltene tatsächliche und rechtliche Zustand des Grundstücks ist im Zeitpunkt der Veräusserung zurück auf den Erwerbszeitpunkt zu projizieren (vgl. Zweifel/Margraf/Hunziker/Oesterhelt , a.a.O., N 5 ff. zu § 10). 3.1.4 In Bezug auf die Beweislastverteilung im Steuerrecht ist festzuhalten, dass der Nachweis für steuerbegründende oder steuererhöhende Tatsachen der Steuerverwaltung, der Beweis für steuermindernde Tatsachen grundsätzlich dem Steuerpflichtigen obliegt. Dieser hat die steuermindernde Tatsache nicht nur zu behaupten, sondern auch zu belegen. Die Beweislosigkeit wirkt sich dabei zu Ungunsten jener Partei aus, welche die Beweislast trägt (vgl. Urteil des Bundesgerichts 2C_913/2020 vom 14. April 2021 E. 1.4 mit weiterem Hinweis).</w:t>
      </w:r>
    </w:p>
    <w:p>
      <w:r>
        <w:rPr>
          <w:b/>
        </w:rPr>
        <w:t>E. 4</w:t>
      </w:r>
    </w:p>
    <w:p>
      <w:r>
        <w:t>Angefochten sind vorliegend einzig noch die Gestehungskosten, d.h. der Erwerbspreis, von Fr. 594'918.-- (1'437 m 2 x Fr. 414.--) der Parzelle Nr. 2334, GB X.____, wobei festzuhalten ist, dass vom Beschwerdeführer vor Kantonsgericht zurecht nicht mehr bestritten wird, dass der Altbau auf der Parzelle Nr. 155, GB X.____, keine Abbruchliegenschaft darstellt und folglich einen Gebäudewert aufweist.</w:t>
      </w:r>
    </w:p>
    <w:p>
      <w:r>
        <w:rPr>
          <w:b/>
        </w:rPr>
        <w:t>E. 4.1</w:t>
      </w:r>
    </w:p>
    <w:p>
      <w:r>
        <w:t>Gestützt auf das Kongruenzprinzip darf in casu wegen der Abparzellierung von Bauland von der damals für insgesamt Fr. 1 Mio. erworbenen Ursprungsparzelle mit einem bestehenden Haus als Anlagewert nur der abparzellierte Landwert für 1'437 m 2 einerseits (als Gestehungskosten) und die darauf erstellte neue Baute (als wertvermehrende Aufwendungen) andererseits berücksichtigt werden. Aus dem Kaufvertrag vom 21. November 2012 betreffend die Parzelle Nr. 155, GB X.____, ist nicht ersichtlich, welcher Teil des Kaufpreises von Fr. 1 Mio. auf das Land (1'724 m 2 ) und welcher auf die darauf stehende Baute entfällt (vgl. Revisionsbericht Nr. 2020-241 vom 12. November 2020 S. 6 Ziffer 2.2.1). Da die Gestehungskosten bei der Grundstückgewinnsteuer zu den steuermindernden Tatsachen gehören, ist der Beschwerdeführer beweispflichtig und hat diese nachzuweisen (vgl. Ziffer 3.1.4 hiervor). Hierfür reicht der Beschwerdeführer ein Gutachten der B.____ GmbH vom 7. Juli 2022 ein und macht einen Erwerbspreis von Fr. 718'500.-- (1'437 m 2 x Fr. 500.-- [gerundet]) geltend. Zunächst ist festzustellen, dass dem Beschwerdeführer in seiner Beschwerde ein Rechenfehler unterlaufen ist: Der Gesamterwerbspreis von Fr. 1 Mio. abzüglich des geltend gemachten Gebäudewerts von Fr. 183'333.-- ergibt einen Landwert von Fr. 816'667.-- (statt Fr. 866'666.--) bzw. einen Quadratmeterpreis von Fr. 474.-- (statt Fr. 500.-- [gerundet]) und damit ein Erwerbspreis von Fr. 681'138.-- (statt Fr. 718'500.--) für die vorliegend massgebliche Fläche von 1'437 m 2 . Davon abgesehen ist mit der Vorinstanz und der Beschwerdegegnerin darin einig zu gehen, dass aus dem Gutachten nicht weiter nachvollziehbar ist, wie der Gebäudewert von Fr. 183'333.-- zu Stande gekommen ist. Bei der Schätzung des Gebäudes aus dem Jahre 1800 wird von einem Gebäudezyklus von 45 Jahren ausgegangen. Da das vorliegende Gebäude gegen Ende des Zyklus einzuschätzen sei, werde es mit einem Abschlag von 77% eingeschätzt. Aus dem Gutachten erschliesst sich jedoch nicht, wie der Schätzer auf die Entwertung des Gebäudes von 77% respektive beim Gebäudewert in der Tabelle von einem Lebenszyklus von 40 Jahren gekommen ist. Auch ist nicht erkennbar, wie der ursprüngliche Gebäudewert von Fr. 3'000.--/m 2 errechnet wurde. Es wird mit «Kennzahlen» kalkuliert, ohne diese aber näher zu erläutern. Die Schätzung beruht ausserdem auf das Jahr 2014, d.h. das Jahr der Abparzellierung, anstatt auf dem hier massgebenden Erwerbszeitpunkt im Jahre 2013. Angesichts all dieser Gründe kann dem Gutachten der B.____ GmbH keine Aussagekraft beigemessen werden. Der Erwerbspreis gemäss § 77 Abs. 1 StG konnte durch den Beschwerdeführer demnach nicht nachgewiesen werden, weshalb nach § 77 Abs. 2 StG der Verkehrswert im Zeitpunkt des Erwerbes als Kaufpreis gilt, vorliegend also der Verkehrswert des Baulands von 1'437 m 2 im Jahre 2013. Da die statistische Methode (auch Vergleichsmethode genannt) eine geeignete und anerkannte Schätzungsmethode ist, welche darauf basiert, dass von vergleichbaren Objekten, die tatsächlich verkauft wurden, auf den Wert des zu schätzenden Grundstücks geschlossen und damit der Bodenwert auf eine rechtsgleiche Weise ermittelt wird, erübrigt sich die Einholung der beantragten Expertise, da der Verkehrswert damit zuverlässig ermittelt werden kann. Folglich ist der flächengewichtete Durchschnittspreis des Statistischen Amtes zur ersatzweisen Bestimmung des Erwerbspreises heranzuziehen (vgl. Ziffer 3.1.2).</w:t>
      </w:r>
    </w:p>
    <w:p>
      <w:r>
        <w:rPr>
          <w:b/>
        </w:rPr>
        <w:t>E. 4.2</w:t>
      </w:r>
    </w:p>
    <w:p>
      <w:r>
        <w:t>Der flächengewichtete durchschnittliche Bodenpreis in X.____ betrug im Jahr 2013 gemäss der Bodenpreisstatistik des Statistischen Amtes Fr. 414.--/m 2 . Wie die Vorinstanz richtig festgestellt hat, sind dabei keine Preisausreisser nach unten oder nach oben feststellbar, die es rechtfertigen würden, ausnahmsweise vom statistischen Wert abzuweichen: 2011 betrug der durchschnittliche Bodenpreis Fr. 452.--/m 2 und 2015 Fr. 412.--/m 2 . Da in den Jahren 2012 und 2014 in X.____ jeweils weniger als drei Freihandkäufe stattfanden, ist kein durchschnittlicher Bodenpreis für diese beiden Jahre vorhanden. Auch sonst sind keine augenfälligen Unregelmässigkeiten ersichtlich, die ein Abweichen von der kantonalen Steuerpraxis rechtfertigen würden. Der Gestehungswert für das abparzellierte Bauland (Parzelle Nr. 2334, GB X.____) beläuft sich daher zu Recht auf insgesamt Fr. 594'918.-- (1'437 m 2 x Fr. 414.--).</w:t>
      </w:r>
    </w:p>
    <w:p>
      <w:r>
        <w:rPr>
          <w:b/>
        </w:rPr>
        <w:t>E. 5</w:t>
      </w:r>
    </w:p>
    <w:p>
      <w:r>
        <w:t>Nach dem Gesagten ist die Beschwerde vollumfänglich abzuweisen.</w:t>
      </w:r>
    </w:p>
    <w:p>
      <w:r>
        <w:rPr>
          <w:b/>
        </w:rPr>
        <w:t>E. 6</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3’500.-- dem unterlegenen Beschwerdeführer aufzuerlegen und mit dem geleisteten Kostenvorschuss in derselben Höhe zu verrechnen. Ausgangsgemäss ist dem Beschwerdeführer keine Parteientschädigung zuzusprechen (§ 21 VPO). Die Parteikosten sind wettzuschlagen. Demgemäss wird erkannt: ://: 1. Die Beschwerde wird abgewiesen. 2. Die Verfahrenskosten in der Höhe von Fr. 3'500.-- werden dem Beschwerdeführer auferlegt und mit dem geleisteten Kostenvorschuss in der Höhe von Fr. 3'500.-- verrechnet. 3. Die Parteikosten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