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85 vom 26. August 2021</w:t>
      </w:r>
    </w:p>
    <w:p>
      <w:r>
        <w:t>BL Gerichte, 2021-08-26, DE</w:t>
      </w:r>
    </w:p>
    <w:p>
      <w:r>
        <w:rPr>
          <w:b/>
        </w:rPr>
        <w:t xml:space="preserve">Quelle: </w:t>
      </w:r>
      <w:r>
        <w:t>https://mcp.opencaselaw.ch/entscheid/bl_gerichte_810_21_85</w:t>
      </w:r>
    </w:p>
    <w:p>
      <w:r>
        <w:t>FR: BL_GERICHTE 810 21 85 du 26 août 2021</w:t>
      </w:r>
    </w:p>
    <w:p>
      <w:r>
        <w:t>IT: BL_GERICHTE 810 21 85 del 26 agosto 2021</w:t>
      </w:r>
    </w:p>
    <w:p>
      <w:pPr>
        <w:pStyle w:val="Heading2"/>
      </w:pPr>
      <w:r>
        <w:t>Regeste</w:t>
      </w:r>
    </w:p>
    <w:p>
      <w:r>
        <w:t>Regelung der elterlichen Sorge</w:t>
      </w:r>
    </w:p>
    <w:p>
      <w:pPr>
        <w:pStyle w:val="Heading2"/>
      </w:pPr>
      <w:r>
        <w:t>Erwägungen</w:t>
      </w:r>
    </w:p>
    <w:p>
      <w:r>
        <w:rPr>
          <w:b/>
        </w:rPr>
        <w:t>E. 1</w:t>
      </w:r>
    </w:p>
    <w:p>
      <w:r>
        <w:t>Gemäss Art. 450 Abs. 1 des Schweizerischen Zivilgesetzbuches (ZGB) vom 10. Dezember 1907 in Verbindung mit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die Abteilung Verfassungs- und Verwaltungsrecht des Kantonsgerichts für zuständig. Das Verfahren richtet sich nach den Art. 450 ZGB bis Art. 450e ZGB. Im Übrigen sind die Bestimmungen des kantonalen Verwaltungsprozessrechts anwendbar (§ 66 Abs. 2 EG ZGB; §§ 43 ff. des Gesetzes über die Verfassungs- und Verwaltungsprozessordnung [VPO] vom 16. Dezember 1993). Nach Art. 450 Abs. 2 ZGB sind Personen zur Beschwerde befugt, die am Verfahren beteiligt sind (Ziff. 1), die der betroffenen Person nahestehen (Ziff. 2) oder die ein rechtlich geschütztes Interesse an der Aufhebung oder Änderung des angefochtenen Entscheids haben (Ziff. 3). Die Beschwerdeführerin ist als direkte Verfahrensbeteiligte zur Beschwerdeerhebung legitimiert. Da auch die übrigen formellen Voraussetzungen gegeben sind, ist auf die Beschwerde einzutreten.</w:t>
      </w:r>
    </w:p>
    <w:p>
      <w:r>
        <w:rPr>
          <w:b/>
        </w:rPr>
        <w:t>E. 2</w:t>
      </w:r>
    </w:p>
    <w:p>
      <w:r>
        <w:t>Mit der Beschwerde können Rechtsverletzungen (Ziff. 1), die unrichtige oder unvollständige Feststellung des Sachverhalts (Ziff. 2) sowie die Unangemessenheit (Ziff. 3) gerügt werden (Art. 450a Abs. 1 ZGB). Dem Kantonsgericht kommt bei der Beurteilung der vorliegenden Beschwerde somit volle Kognition zu.</w:t>
      </w:r>
    </w:p>
    <w:p>
      <w:r>
        <w:rPr>
          <w:b/>
        </w:rPr>
        <w:t>E. 3</w:t>
      </w:r>
    </w:p>
    <w:p>
      <w:r>
        <w:t>Die Beschwerdeführerin hat dem Beschwerdegegner eine reduzierte Parteientschädigung in der Höhe von Fr. 3'369.57 (inkl. Auslagen und 7.7% MWST) auszurichten. Die übrigen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