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21 274 vom 7. September 2021</w:t>
      </w:r>
    </w:p>
    <w:p>
      <w:r>
        <w:t>BL Gerichte, 2021-09-07, DE</w:t>
      </w:r>
    </w:p>
    <w:p>
      <w:r>
        <w:rPr>
          <w:b/>
        </w:rPr>
        <w:t xml:space="preserve">Quelle: </w:t>
      </w:r>
      <w:r>
        <w:t>https://mcp.opencaselaw.ch/entscheid/bl_gerichte_810_21_274</w:t>
      </w:r>
    </w:p>
    <w:p>
      <w:r>
        <w:t>FR: BL_GERICHTE 810 21 274 du 7 septembre 2021</w:t>
      </w:r>
    </w:p>
    <w:p>
      <w:r>
        <w:t>IT: BL_GERICHTE 810 21 274 del 7 settembre 2021</w:t>
      </w:r>
    </w:p>
    <w:p>
      <w:pPr>
        <w:pStyle w:val="Heading2"/>
      </w:pPr>
      <w:r>
        <w:t>Regeste</w:t>
      </w:r>
    </w:p>
    <w:p>
      <w:r>
        <w:t>Stimmrechtsbeschwerde/Referendum zur Totalrevision der Kirchenordnung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Verfahrenskosten in der Höhe von Fr. 750.-- werden dem Beschwerdeführer auferlegt und mit dem geleisteten Kostenvorschuss in der Höhe von Fr. 1'500.-- verrechnet. Der zu viel geleistete Kostenvorschuss in der Höhe von Fr. 750.-- wird dem Beschwerdeführer zurückerstattet.</w:t>
      </w:r>
    </w:p>
    <w:p>
      <w:r>
        <w:rPr>
          <w:b/>
        </w:rPr>
        <w:t>E. 3</w:t>
      </w:r>
    </w:p>
    <w:p>
      <w:r>
        <w:t>Die Parteikosten werden wettgeschlagen.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