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21 184 vom 16. März 2022</w:t>
      </w:r>
    </w:p>
    <w:p>
      <w:r>
        <w:t>BL Gerichte, 2022-03-16, DE</w:t>
      </w:r>
    </w:p>
    <w:p>
      <w:r>
        <w:rPr>
          <w:b/>
        </w:rPr>
        <w:t xml:space="preserve">Quelle: </w:t>
      </w:r>
      <w:r>
        <w:t>https://mcp.opencaselaw.ch/entscheid/bl_gerichte_810_21_184</w:t>
      </w:r>
    </w:p>
    <w:p>
      <w:r>
        <w:t>FR: BL_GERICHTE 810 21 184 du 16 mars 2022</w:t>
      </w:r>
    </w:p>
    <w:p>
      <w:r>
        <w:t>IT: BL_GERICHTE 810 21 184 del 16 marzo 2022</w:t>
      </w:r>
    </w:p>
    <w:p>
      <w:pPr>
        <w:pStyle w:val="Heading2"/>
      </w:pPr>
      <w:r>
        <w:t>Regeste</w:t>
      </w:r>
    </w:p>
    <w:p>
      <w:r>
        <w:t>Errichtung einer Vertretungsbeistandschaft mit Einkommens- und Vermögensverwaltung</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Der Kindes- und Erwachsenenschutzbehörde C.____ wird ein Verfahrenskostenanteil in der Höhe von Fr. 2'000.-- und der Beschwerdeführerin ein Verfahrenskostenanteil in der Höhe von Fr. 500.-- auferlegt.</w:t>
      </w:r>
    </w:p>
    <w:p>
      <w:r>
        <w:rPr>
          <w:b/>
        </w:rPr>
        <w:t>E. 4</w:t>
      </w:r>
    </w:p>
    <w:p>
      <w:r>
        <w:t>Die Parteikosten werden wettgeschlagen. Vizepräsident Gerichtsschreiberin Gegen diesen Entscheid wurde am 4. Juli 2022 Beschwerde beim Bundesgericht erhoben (Verfahrensnummer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