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21 174 vom 2. Februar 2022</w:t>
      </w:r>
    </w:p>
    <w:p>
      <w:r>
        <w:t>BL Gerichte, 2022-02-02, DE</w:t>
      </w:r>
    </w:p>
    <w:p>
      <w:r>
        <w:rPr>
          <w:b/>
        </w:rPr>
        <w:t xml:space="preserve">Quelle: </w:t>
      </w:r>
      <w:r>
        <w:t>https://mcp.opencaselaw.ch/entscheid/bl_gerichte_810_21_174</w:t>
      </w:r>
    </w:p>
    <w:p>
      <w:r>
        <w:t>FR: BL_GERICHTE 810 21 174 du 2 février 2022</w:t>
      </w:r>
    </w:p>
    <w:p>
      <w:r>
        <w:t>IT: BL_GERICHTE 810 21 174 del 2 febbraio 2022</w:t>
      </w:r>
    </w:p>
    <w:p>
      <w:pPr>
        <w:pStyle w:val="Heading2"/>
      </w:pPr>
      <w:r>
        <w:t>Regeste</w:t>
      </w:r>
    </w:p>
    <w:p>
      <w:r>
        <w:t>Grundstückgewinnsteuer</w:t>
      </w:r>
    </w:p>
    <w:p>
      <w:pPr>
        <w:pStyle w:val="Heading2"/>
      </w:pPr>
      <w:r>
        <w:t>Erwägungen</w:t>
      </w:r>
    </w:p>
    <w:p>
      <w:r>
        <w:rPr>
          <w:b/>
        </w:rPr>
        <w:t>E. 1</w:t>
      </w:r>
    </w:p>
    <w:p>
      <w:r>
        <w:t>Nach § 131 Abs. 1 des Gesetzes über die Staats- und Gemeindesteuern (StG) vom 7. Februar 1974 und § 43 Abs. 2 des Gesetzes über die Verfassungs- und Verwaltungsprozessordnung (VPO) vom 16. Dezember 1993 können Entscheide des Steuergerichts mit Verwaltungsgerichtsbeschwerde beim Kantonsgericht, Abteilung Verfassungs- und Verwaltungsrecht (Kantonsgericht), angefochten werden. Nach § 131 Abs. 2 lit. a StG ist die steuerpflichtige Person zur Beschwerde befugt. Da alle formellen Voraussetzungen gemäss §§ 43 ff. VPO erfüllt sind, ist auf die frist- und formgerecht erhobene Beschwerde einzutreten.</w:t>
      </w:r>
    </w:p>
    <w:p>
      <w:r>
        <w:rPr>
          <w:b/>
        </w:rPr>
        <w:t>E. 2</w:t>
      </w:r>
    </w:p>
    <w:p>
      <w:r>
        <w:t>Mit der Beschwerde in Steuersachen können gemäss § 45 Abs. 2 VPO alle Mängel des angefochtenen Entscheids und des vorangegangenen Verfahrens gerügt werden. Dem Kantonsgericht kommt im vorliegenden Fall somit volle Kognition zu. Im Verfahren vor Kantonsgericht reichte der Beschwerdeführer neu ein Bestätigungsschreiben der Gemeinde C.____ vom 13. Juli 2021 ein, in welchem der Gemeinderat festhielt, dass davon ausgegangen werden könne, dass er bereits im Jahr 1998 einer Abänderung der Personaldienstbarkeit zugestimmt hätte. Da gemäss § 6 Abs. 3 VPO die Parteien bei Beschwerden in Steuersachen auch neue Anträge, Behauptungen und Beweismittel vorbringen können, stellt dieses nachgereichte Bestätigungsschreiben ein zulässiges Novum dar, welches in den nachfolgenden Erwägungen zu berücksichtigen ist. Das Kantonsgericht ist nach § 18 Abs. 3 VPO weiter nicht an die Begehren der Parteien gebunden, sondern es stehen ihm die gleichen Befugnisse zu wie den Einschätzungsbehörden (vgl. Urteil des Kantonsgerichts, Abteilung Verfassungs- und Verwaltungsrecht [KGE VV], vom 10. August 2016 [ 810 16 9] E. 7.2 ).</w:t>
      </w:r>
    </w:p>
    <w:p>
      <w:r>
        <w:rPr>
          <w:b/>
        </w:rPr>
        <w:t>E. 3</w:t>
      </w:r>
    </w:p>
    <w:p>
      <w:r>
        <w:t>Streitgegenstand im vorliegenden Verfahren bildet die Berechnung des steuerbaren Grundstückgewinns und die gestützt darauf berechnete Grundstückgewinnsteuer. Materiell ist insbesondere die Berechnung der Gestehungskosten (sog. Anlagekosten) strittig. Zu prüfen ist in diesem Zusammenhang einerseits die Art und Weise der Ermittlung des Erwerbspreises in Form des Ersatzwertes ʺVerkehrswert vor 20 Jahrenʺ und andererseits der zum Abzug zugelassene Umfang der anrechenbaren Aufwendungen von mit dem Verkauf der Parzelle verbundenen Ausgaben (sog. Verkaufsunkosten).</w:t>
      </w:r>
    </w:p>
    <w:p>
      <w:r>
        <w:rPr>
          <w:b/>
        </w:rPr>
        <w:t>E. 4</w:t>
      </w:r>
    </w:p>
    <w:p>
      <w:r>
        <w:t>Die Steuerverwaltung des Kantons Basel-Landschaft hat dem Beschwerdeführer eine Parteientschädigung in der Höhe von Fr. 3'279.55 (inkl. Auslagen und 7.7% MWST) auszurichten.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