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21 160 vom 26. Januar 2022</w:t>
      </w:r>
    </w:p>
    <w:p>
      <w:r>
        <w:t>BL Gerichte, 2022-01-26, DE</w:t>
      </w:r>
    </w:p>
    <w:p>
      <w:r>
        <w:rPr>
          <w:b/>
        </w:rPr>
        <w:t xml:space="preserve">Quelle: </w:t>
      </w:r>
      <w:r>
        <w:t>https://mcp.opencaselaw.ch/entscheid/bl_gerichte_810_21_160</w:t>
      </w:r>
    </w:p>
    <w:p>
      <w:r>
        <w:t>FR: BL_GERICHTE 810 21 160 du 26 janvier 2022</w:t>
      </w:r>
    </w:p>
    <w:p>
      <w:r>
        <w:t>IT: BL_GERICHTE 810 21 160 del 26 gennaio 2022</w:t>
      </w:r>
    </w:p>
    <w:p>
      <w:pPr>
        <w:pStyle w:val="Heading2"/>
      </w:pPr>
      <w:r>
        <w:t>Regeste</w:t>
      </w:r>
    </w:p>
    <w:p>
      <w:r>
        <w:t>Nach- und Strafsteuer Direkte Bundessteuer 2006-2012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1'400.-- werden der Beschwerdeführerin auferlegt und mit dem geleisteten Kostenvorschuss in der Höhe von Fr. 1'400.-- verrechnet.</w:t>
      </w:r>
    </w:p>
    <w:p>
      <w:r>
        <w:rPr>
          <w:b/>
        </w:rPr>
        <w:t>E. 3</w:t>
      </w:r>
    </w:p>
    <w:p>
      <w:r>
        <w:t>Die Parteikosten werden wettgeschlagen. Vizepräsident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