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68 vom 14. Mai 2020</w:t>
      </w:r>
    </w:p>
    <w:p>
      <w:r>
        <w:t>BL Gerichte, 2020-05-14, DE</w:t>
      </w:r>
    </w:p>
    <w:p>
      <w:r>
        <w:rPr>
          <w:b/>
        </w:rPr>
        <w:t xml:space="preserve">Quelle: </w:t>
      </w:r>
      <w:r>
        <w:t>https://mcp.opencaselaw.ch/entscheid/bl_gerichte_810_20_68</w:t>
      </w:r>
    </w:p>
    <w:p>
      <w:r>
        <w:t>FR: BL_GERICHTE 810 20 68 du 14 mai 2020</w:t>
      </w:r>
    </w:p>
    <w:p>
      <w:r>
        <w:t>IT: BL_GERICHTE 810 20 68 del 14 maggio 2020</w:t>
      </w:r>
    </w:p>
    <w:p>
      <w:pPr>
        <w:pStyle w:val="Heading2"/>
      </w:pPr>
      <w:r>
        <w:t>Regeste</w:t>
      </w:r>
    </w:p>
    <w:p>
      <w:r>
        <w:t>Abweisung des Antrags auf Aufhebung der stationären Massnahme (RRB Nr. 225 vom 18. Februar 2020)</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Die Parteikosten werden wettgeschlagen. Zufolge Bewilligung der unentgeltlichen Verbeiständung wird dem Rechtsvertreter des Beschwerdeführers ein Honorar in der Höhe von Fr. 2'751.65 (inkl. Auslagen und 7.7% MWST) aus der Gerichtskasse ausgerichtet. Kantonsrichter Gerichtsschreiber Gegen diesen Entscheid wurde am 14. Juli 2020 Beschwerde beim Bundesgericht (Verfahrensnummer 6B_850/2020)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