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20 253 vom 29. März 2019</w:t>
      </w:r>
    </w:p>
    <w:p>
      <w:r>
        <w:t>BL Gerichte, 2019-03-29, DE</w:t>
      </w:r>
    </w:p>
    <w:p>
      <w:r>
        <w:rPr>
          <w:b/>
        </w:rPr>
        <w:t xml:space="preserve">Quelle: </w:t>
      </w:r>
      <w:r>
        <w:t>https://mcp.opencaselaw.ch/entscheid/bl_gerichte_810_20_253</w:t>
      </w:r>
    </w:p>
    <w:p>
      <w:r>
        <w:t>FR: BL_GERICHTE 810 20 253 du 29 mars 2019</w:t>
      </w:r>
    </w:p>
    <w:p>
      <w:r>
        <w:t>IT: BL_GERICHTE 810 20 253 del 29 marzo 2019</w:t>
      </w:r>
    </w:p>
    <w:p>
      <w:pPr>
        <w:pStyle w:val="Heading2"/>
      </w:pPr>
      <w:r>
        <w:t>Regeste</w:t>
      </w:r>
    </w:p>
    <w:p>
      <w:r>
        <w:t>Nichtverlängerung der Aufenthaltsbewilligung und Wegweisung/Zweiter Rechtsgang (RRB Nr. 804 vom 11. Juni 2019)</w:t>
      </w:r>
    </w:p>
    <w:p>
      <w:pPr>
        <w:pStyle w:val="Heading2"/>
      </w:pPr>
      <w:r>
        <w:t>Erwägungen</w:t>
      </w:r>
    </w:p>
    <w:p>
      <w:r>
        <w:rPr>
          <w:b/>
        </w:rPr>
        <w:t>E. 1</w:t>
      </w:r>
    </w:p>
    <w:p>
      <w:r>
        <w:t>Weist das Bundesgericht die Sache zur neuen Beurteilung an die Vorinstanz zurück, ist diese auf diejenige Thematik beschränkt, die sich aus den bundesgerichtlichen Erwägungen als Gegenstand der neuen Beurteilung ergibt. Der neuen Entscheidung ist der bisherige Sachverhalt zugrundezulegen. Die rechtliche Beurteilung, mit der die Rückweisung begründet wurde, ist für das weitere Verfahren massgebend. Das Verfahren wird nur insoweit neu in Gang gesetzt, als dies notwendig ist, um den verbindlichen Erwägungen des Bundesgerichts Rechnung zu tragen (BGE 143 IV 214 E. 5.2.1; BGE 135 III 334 E. 2).</w:t>
      </w:r>
    </w:p>
    <w:p>
      <w:r>
        <w:rPr>
          <w:b/>
        </w:rPr>
        <w:t>E. 2</w:t>
      </w:r>
    </w:p>
    <w:p>
      <w:r>
        <w:t>Die Eintretensvoraussetzungen sind, wie bereits im aufgehobenen Entscheid festgestellt wurde, gegeben.</w:t>
      </w:r>
    </w:p>
    <w:p>
      <w:r>
        <w:rPr>
          <w:b/>
        </w:rPr>
        <w:t>E. 3</w:t>
      </w:r>
    </w:p>
    <w:p>
      <w:r>
        <w:t>Die Beschwerdeführerin verlangt mit ihrer Beschwerde eine Verlängerung ihrer Aufenthaltsbewilligung in der Schweiz. Dabei beruft sie sich zunächst auf Art. 50 des Bundesgesetzes über die Ausländerinnen und Ausländer und über die Integration (AIG) vom 16. Dezember 2005 (bis 31. Dezember 2018 und soweit im Folgenden die altrechtliche Fassung massgeblich ist: AuG), welcher dem ausländischen Ehegatten nach dem Scheitern der Ehe unter bestimmten Voraussetzungen einen Anspruch auf Verlängerung der Aufenthaltsbewilligung gewährt. Sodann erachtet sie die Voraussetzung für eine Härtefallbewilligung nach Art. 30 AuG als erfüllt.</w:t>
      </w:r>
    </w:p>
    <w:p>
      <w:r>
        <w:rPr>
          <w:b/>
        </w:rPr>
        <w:t>E. 4</w:t>
      </w:r>
    </w:p>
    <w:p>
      <w:r>
        <w:t>Die Aufenthaltsbewilligung war der Beschwerdeführerin gestützt auf Art. 43 Abs. 1 AuG erteilt worden, wonach ausländische Ehegatten von Personen mit Niederlassungsbewilligung Anspruch auf Erteilung und Verlängerung der Aufenthaltsbewilligung haben, wenn sie mit diesen zusammenwohnen. Nach der Auflösung der Ehegemeinschaft besteht dieser Anspruch gemäss Art. 50 Abs. 1 lit. a AuG weiter, wenn die Ehegemeinschaft mindestens drei Jahre bestanden hat und eine erfolgreiche Integration besteht. Die Ehegemeinschaft hat vorliegend weniger als drei Jahre bestanden. Da die Voraussetzungen von Art. 50 Abs. 1 lit. a AuG kumulativ zu erfüllen sind (BGE 140 II 289 E. 3.8), kann ein auf die Ehedauer gestützter Anspruch auf Verlängerung der Aufenthaltsbewilligung bereits aus diesem Grund ausgeschlossen werden. 5.1 Die Beschwerdeführerin bringt weiter vor, ihr Aufenthaltsanspruch dauere fort, weil wichtige persönliche Gründe nach Art. 50 Abs. 1 lit. b AuG vorlägen, die ihren weiteren Aufenthalt in der Schweiz erforderlich machten. Sie macht geltend, Opfer ehelicher bzw. häuslicher Gewalt geworden zu sein. 5.2 Eheliche Gewalt kann einen wichtigen persönlichen Grund im Sinne von Art. 50 Abs. 1 lit. b AuG darstellen (Art. 50 Abs. 2 AuG). Erfasst ist nach der Rechtsprechung grundsätzlich jede Form ehelicher bzw. häuslicher Gewalt, sei sie physischer oder psychischer Natur. Jede Form häuslicher Gewalt ist ernst zu nehmen (BGE 138 II 229 E. 3.3.3; Urteil des BGer 2C_165/2018 vom 19. September 2018 E. 2.1). Gemäss bundesgerichtlicher Rechtsprechung bedeutet häusliche Gewalt systematische Misshandlung mit dem Ziel, Macht und Kontrolle auszuüben, und nicht eine einmalige Ohrfeige oder eine verbale Beschimpfung im Verlauf eines eskalierenden Streits (BGE 138 II 229 E. 3.2.1; BGE 136 II 1 E. 5.4). Hingegen kann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(BGE 138 II 229 E. 3.2.2; Urteil des BGer 2C_77/2018 vom 22. August 2019 E. 3.1; Urteil des BGer 2C_241/2018 vom 20. November 2018 E. 4.1).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(BGE 138 II 229 E. 3.2.2; Urteil des BGer 2C_1072/2018 vom 1. Juli 2019 E. 2.3). Häusliche Gewalt physischer oder psychischer Natur muss somit von einer gewissen Konstanz bzw. Intensität sein (BGE 142 I 152 [nicht publ.] E. 3.2; BGE 138 II 229 E. 3.2.1). Beim Aufenthaltsanspruch gestützt auf einen nachehelichen Härtefall wegen häuslicher Gewalt gilt es ferner zu beachten, dass die eheliche Gemeinschaft primär deswegen aufgegeben worden sein muss. Kann dieser Zusammenhang nicht bejaht werden, weil die Auflösung der Ehegemeinschaft überwiegend andere Ursachen hat, liegt kein nachehelicher Härtefall vor (vgl. Urteil des BGer 2C_451/2014 vom 24. Dezember 2014 E. 6.1). 5.3 Das Bundesgericht hat für das Kantonsgericht verbindlich (vgl. oben E. 1) festgehalten, dass sich die Darstellung der Beschwerdeführerin nicht von der Hand weisen lasse, wonach sie vonseiten ihres Ehemannes sowohl physischer (Übergiessen mit Wasser, Schläge, Kopfstösse), sexueller (Bestrafungen bei Nichtbefolgung von Wünschen sexueller Natur), ökonomischer (Anspruch, über ihr Salär zu verfügen) als auch psychischer Gewalt (Demütigungen, Beschimpfungen, Drohungen mit einem Messer, Drangsalierungen, soziale lsolation) ausgesetzt war, die mehrere Monate anhielt und in dem traumatischen Vorfall im Monat November 2017 gipfelte, der zur Trennung der Ehegatten führte. Das Kantonsgericht darf - so das Bundesgericht - aufgrund der aktenkundigen Elemente jedenfalls nicht ohne weitere Abklärungen annehmen, dass die Beschwerdeführerin keiner im Sinne von Art. 50 Abs. 1 lit. b AuG relevanten ehelichen Gewalt unterlag (Urteil des BGer 2C_1024/2019 vom 27. August 2020 E. 5.8). 5.4 Zielführende weitere Beweiserhebungen, die zu einem solchen anderen Schluss führen könnten, sind nicht ersichtlich. Die Beschwerdeführerin hat die Vorfälle während der Ehe gegenüber Ärzten, der Polizei, der Staatsanwaltschaft und nicht zuletzt auch in ihren Rechtsschriften geschildert. Das Bundesgericht attestierte den Aussagen der Beschwerdeführerin ein "hohes Mass an Glaubhaftigkeit" (Urteil des BGer 2C_1024/2019 vom 27. August 2020 E. 5.3.2). Es kann in antizipierter Beweiswürdigung davon ausgegangen werden, dass die Beschwerdeführerin im Falle einer persönlichen Anhörung durch das Kantonsgericht ihre früheren Aussagen wiederholen würde und sich an der Einschätzung der Glaubhaftigkeit nichts ändern würde. Was den Vorfall in der Nacht vom 15. auf den 16. November 2017 betrifft, hat das Kantonsgericht bereits im aufgehobenen Urteil die durch die Akten untermauerte Darstellung der Beschwerdeführerin nicht in Zweifel gezogen, so dass sich in diesem Zusammenhang eine Anhörung ihrer Schwester erübrigt. Bei den von der Beschwerdeführerin geschilderten ehelichen Vorkommnissen und Auseinandersetzungen in den Monaten vor dem Beziehungsende handelte es sich durchs Band um (behauptete) Vier-Augen-Delikte, bei denen auch die Staatsanwaltschaft keine erfolgversprechenden weiteren Ermittlungsansätze erkennen konnte (vgl. Einstellungsverfügung vom 8. Mai 2018). 5.5 Es bleibt damit bei der Einschätzung des Bundesgerichts, dass die Beschwerdeführerin die eheliche Gewalt glaubhaft gemacht hat. Sie hat dementsprechend einen auf Art. 50 Abs. 1 lit. b AuG gestützten Anspruch auf Verlängerung der Aufenthaltsbewilligung.</w:t>
      </w:r>
    </w:p>
    <w:p>
      <w:r>
        <w:rPr>
          <w:b/>
        </w:rPr>
        <w:t>E. 6</w:t>
      </w:r>
    </w:p>
    <w:p>
      <w:r>
        <w:t>Die Beschwerde erweist sich nach dem Dargelegten als begründet und ist deshalb gutzuheissen. Der angefochtene Entscheid ist aufzuheben und das Amt für Migration und Bürgerrecht Basel-Landschaft ist anzuweisen, der Beschwerdeführerin die Aufenthaltsbewilligung zu verlängern. Der Beschwerdegegner wird die Kosten des regierungsrätlichen Verfahrens neu zu verlegen haben. 7.1 Es bleibt über die Kosten des vorliegenden Verfahrens zu befinden. Gemäss § 20 Abs. 1 VPO ist das verwaltungsgerichtliche Verfahren vor dem Kantonsgericht kostenpflichtig. Die Verfahrenskosten umfassen die Gerichtsgebühren sowie die Beweiskosten und werden in der Regel der unterliegenden Partei in angemessenem Ausmass auferlegt (§ 20 Abs. 3 VPO). Demzufolge sind die Verfahrenskosten in der Höhe von Fr. 1'400.-- vollumfänglich dem Regierungsrat aufzuerlegen. Der von der Beschwerdeführerin geleistete Kostenvorschuss in derselben Höhe ist ihr zurückzuerstatten. 7.2 Nach § 21 Abs. 1 VPO kann der ganz oder teilweise obsiegenden Partei für den Beizug einer Anwältin oder eines Anwalts eine angemessene Parteientschädigung zulasten der Gegenpartei zugesprochen werden. Entsprechend dem Ausgang des vorliegenden Verfahrens ist der Beschwerdeführerin eine Parteientschädigung zulasten des Regierungsrats zuzusprechen. In ihrer Honorarnote vom 8. August 2019 macht die frühere Rechtsvertreterin der Beschwerdeführerin Bemühungen der Volontärin von 12 Stunden à Fr. 100.-- sowie einen eigenen Zeitaufwand von 2 Stunden zu einem Ansatz von Fr. 250.-- geltend. Dazu kommen Auslagen von Fr. 40.--. Die Honorarnote ist tarifkonform und nicht zu beanstanden. Folglich hat der Regierungsrat der Beschwerdeführerin eine Parteientschädigung in der Höhe von Fr. 1'874.-- (inkl. Auslagen und 7.7% MWST) zu bezahlen. Demgemäss wird erkannt: ://: 1. In Gutheissung der Beschwerde wird der Regierungsratsbeschluss Nr. 804 vom 11. Juni 2019 aufgehoben und das Amt für Migration und Bürgerrecht des Kantons Basel-Landschaft angewiesen, die Aufenthaltsbewilligung der Beschwerdeführerin zu verlängern. 2. Die Angelegenheit wird zur Neuverteilung der Kosten des vorinstanzli-chen Verfahrens an den Regierungsrat des Kantons Basel-Landschaft zurückgewiesen. 3. Die Verfahrenskosten in der Höhe von Fr. 1'400.-- werden dem Regierungsrat des Kantons Basel-Landschaft auferlegt. Der geleistete Kostenvorschuss in der Höhe von Fr. 1'400.-- wird der Beschwerdeführerin zurückerstattet. 4. Der Regierungsrat des Kantons Basel-Landschaft hat der Beschwerdeführerin eine Parteientschädigung in der Höhe von Fr. 1'874.-- (inkl. Auslagen und 7.7% MWST) zu entrichten.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