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20 113 vom 17. März 2021</w:t>
      </w:r>
    </w:p>
    <w:p>
      <w:r>
        <w:t>BL Gerichte, 2021-03-17, DE</w:t>
      </w:r>
    </w:p>
    <w:p>
      <w:r>
        <w:rPr>
          <w:b/>
        </w:rPr>
        <w:t xml:space="preserve">Quelle: </w:t>
      </w:r>
      <w:r>
        <w:t>https://mcp.opencaselaw.ch/entscheid/bl_gerichte_810_20_113</w:t>
      </w:r>
    </w:p>
    <w:p>
      <w:r>
        <w:t>FR: BL_GERICHTE 810 20 113 du 17 mars 2021</w:t>
      </w:r>
    </w:p>
    <w:p>
      <w:r>
        <w:t>IT: BL_GERICHTE 810 20 113 del 17 marzo 2021</w:t>
      </w:r>
    </w:p>
    <w:p>
      <w:pPr>
        <w:pStyle w:val="Heading2"/>
      </w:pPr>
      <w:r>
        <w:t>Regeste</w:t>
      </w:r>
    </w:p>
    <w:p>
      <w:r>
        <w:t>Wasser- und Kanalisationsanschlussbeitrag</w:t>
      </w:r>
    </w:p>
    <w:p>
      <w:pPr>
        <w:pStyle w:val="Heading2"/>
      </w:pPr>
      <w:r>
        <w:t>Erwägungen</w:t>
      </w:r>
    </w:p>
    <w:p>
      <w:r>
        <w:rPr>
          <w:b/>
        </w:rPr>
        <w:t>E. 1</w:t>
      </w:r>
    </w:p>
    <w:p>
      <w:r>
        <w:t>Gemäss § 43 Abs. 2 des Gesetzes über die Verfassungs- und Verwaltungsprozessordnung (VPO) vom 16. Dezember 1993 ist die verwaltungsgerichtliche Beschwerde beim Kantonsgericht zulässig gegen Verfügungen und Entscheide von Gerichten, sofern die kantonale Gesetzgebung und die Verfassung die Zuständigkeit des Kantonsgerichts als Verwaltungsgericht vorsehen. § 96a Abs. 4 EntG bestimmt, dass Erschliessungsabgaben betreffende Entscheide des Steuer- und Enteignungsgerichts, Abteilung Enteignungsgericht, innert zehn Tagen mit Beschwerde beim Kantonsgericht angefochten werden können. Die vorliegende Streitsache betrifft eine Wasser- und eine Kanalisationsanschlussgebühr und damit Erschliessungsabgaben (vgl. § 90 Abs. 2 EntG), womit die Zuständigkeit des Kantonsgerichts gegeben ist. Der Beschwerdeführer ist vom angefochtenen Entscheid als Adressat unmittelbar in schutzwürdigen Interessen berührt und daher nach § 47 Abs. 1 lit. a VPO zur Beschwerde legitimiert. Auf die im Übrigen form- und fristgerecht eingereichte Beschwerde ist somit einzutreten.</w:t>
      </w:r>
    </w:p>
    <w:p>
      <w:r>
        <w:rPr>
          <w:b/>
        </w:rPr>
        <w:t>E. 2</w:t>
      </w:r>
    </w:p>
    <w:p>
      <w:r>
        <w:t>Mit der verwaltungsgerichtlichen Beschwerde können gemäss § 45 Abs. 1 lit. a und b VPO sämtliche Rechtsverletzungen einschliesslich Überschreitung, Unterschreitung oder Missbrauch des Ermessens sowie die unrichtige oder unvollständige Feststellung des Sachverhalts gerügt werden. Die Beurteilung der Angemessenheit ist dem Kantonsgericht dagegen vorliegend verwehrt (§ 45 lit. c VPO e contrario).</w:t>
      </w:r>
    </w:p>
    <w:p>
      <w:r>
        <w:rPr>
          <w:b/>
        </w:rPr>
        <w:t>E. 3</w:t>
      </w:r>
    </w:p>
    <w:p>
      <w:r>
        <w:t>Die Verfahrenskosten in der Höhe von Fr. 2'500.-- werden der Beschwerdegegnerin auferlegt. Der geleistete Kostenvorschuss in der Höhe von Fr. 2'500.-- wird dem Beschwerdeführer zurückerstattet.</w:t>
      </w:r>
    </w:p>
    <w:p>
      <w:r>
        <w:rPr>
          <w:b/>
        </w:rPr>
        <w:t>E. 4</w:t>
      </w:r>
    </w:p>
    <w:p>
      <w:r>
        <w:t>Die Beschwerdegegnerin hat dem Beschwerdeführer eine Parteientschädigung in der Höhe von Fr. 12'117.45 (inkl. Auslagen und 7.7% MWST) auszurichten. Im Übrigen werden die Parteikosten wettgeschlagen. Kantonsrichter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