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20 111 vom 4. März 2020</w:t>
      </w:r>
    </w:p>
    <w:p>
      <w:r>
        <w:t>BL Gerichte, 2020-03-04, DE</w:t>
      </w:r>
    </w:p>
    <w:p>
      <w:r>
        <w:rPr>
          <w:b/>
        </w:rPr>
        <w:t xml:space="preserve">Quelle: </w:t>
      </w:r>
      <w:r>
        <w:t>https://mcp.opencaselaw.ch/entscheid/bl_gerichte_810_20_111</w:t>
      </w:r>
    </w:p>
    <w:p>
      <w:r>
        <w:t>FR: BL_GERICHTE 810 20 111 du 4 mars 2020</w:t>
      </w:r>
    </w:p>
    <w:p>
      <w:r>
        <w:t>IT: BL_GERICHTE 810 20 111 del 4 marzo 2020</w:t>
      </w:r>
    </w:p>
    <w:p>
      <w:pPr>
        <w:pStyle w:val="Heading2"/>
      </w:pPr>
      <w:r>
        <w:t>Regeste</w:t>
      </w:r>
    </w:p>
    <w:p>
      <w:r>
        <w:t>Entzug des Aufenthaltsbestimmungsrechts des Kindsvaters; Umplatzierung; Aufhebung Sistierung des persönlichen Kontakts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450 Abs. 1 ZGB i.V.m. Art. 314 Abs. 1 ZGB kann gegen Entscheide einer Kindesschutzbehörde Beschwerde beim zuständigen Gericht erhoben werden. § 66 Abs. 1 des kantonalen Gesetzes über die Einführung des Zivilgesetzbuches (EG ZGB) vom 16. November 2006 erklärt für die Beurteilung von Beschwerden nach Art. 450 Abs. 1 ZGB das Kantonsgericht, Abteilung Verfassungs- und Verwaltungsrecht, für zuständig. Das Verfahren richtet sich nach den Art. 450 ZGB bis Art. 450e ZGB. Im Übrigen sind die Bestimmungen des kantonalen Verwaltungsprozessrechts anwendbar (§ 66 Abs. 2 EG ZGB). Von Bundesrechts wegen anfechtbar sind sämtliche Endentscheide (Art. 450 Abs. 1 ZGB) sowie Zwischenentscheide über vorsorgliche Massnahmen (Art. 445 Abs. 3 ZGB). Beim angefochtenen Entscheid vom 27. März 2020, welcher die Anordnung vorsorglicher Massnahmen zum Gegenstand hat, handelt es sich um einen Zwischenentscheid im Sinne von Art. 445 Abs. 3 ZGB. Die Zuständigkeit zur Beurteilung der vorliegenden Streitsache liegt in Anwendung von § 66 Abs. 2 EG ZGB i.V.m. § 1 Abs. 3 lit. f des Gesetzes über die Verfassungs- und Verwaltungsprozessordnung (VPO) vom 16. Dezember 1993 bei der präsidierenden Person. Der Beschwerdeführer ist als direkt Verfahrensbeteiligter ohne Weiteres nach Art. 450 Abs. 2 Ziff. 1 ZGB zur Beschwerdeerhebung legitimiert. Die Beschwerdefrist von zehn Tagen (Art. 445 Abs. 3 ZGB) ist vorliegend eingehalten. Da auch die weiteren Prozessvoraussetzungen erfüllt sind, kann auf die Beschwerde eingetreten werden.</w:t>
      </w:r>
    </w:p>
    <w:p>
      <w:r>
        <w:rPr>
          <w:b/>
        </w:rPr>
        <w:t>E. 2</w:t>
      </w:r>
    </w:p>
    <w:p>
      <w:r>
        <w:t>Die Verfahrenskosten in der Höhe von Fr. 800.-- werden dem Beschwerdeführer auferlegt.</w:t>
      </w:r>
    </w:p>
    <w:p>
      <w:r>
        <w:rPr>
          <w:b/>
        </w:rPr>
        <w:t>E. 3</w:t>
      </w:r>
    </w:p>
    <w:p>
      <w:r>
        <w:t>Die Parteikosten werden wettgeschlagen.</w:t>
      </w:r>
    </w:p>
    <w:p>
      <w:r>
        <w:rPr>
          <w:b/>
        </w:rPr>
        <w:t>E. 4</w:t>
      </w:r>
    </w:p>
    <w:p>
      <w:r>
        <w:t>Eine Kopie der Eingabe des Beschwerdeführers vom 6. August 2020 geht an die übrigen Verfahrensbeteiligten zur Kenntnisnahme.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