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41 vom 21. Oktober 2015</w:t>
      </w:r>
    </w:p>
    <w:p>
      <w:r>
        <w:t>BL Gerichte, 2015-10-21, DE</w:t>
      </w:r>
    </w:p>
    <w:p>
      <w:r>
        <w:rPr>
          <w:b/>
        </w:rPr>
        <w:t xml:space="preserve">Quelle: </w:t>
      </w:r>
      <w:r>
        <w:t>https://mcp.opencaselaw.ch/entscheid/bl_gerichte_810_2015_41</w:t>
      </w:r>
    </w:p>
    <w:p>
      <w:r>
        <w:t>FR: BL_GERICHTE 810 2015 41 du 21 octobre 2015</w:t>
      </w:r>
    </w:p>
    <w:p>
      <w:r>
        <w:t>IT: BL_GERICHTE 810 2015 41 del 21 ottobre 2015</w:t>
      </w:r>
    </w:p>
    <w:p>
      <w:pPr>
        <w:pStyle w:val="Heading2"/>
      </w:pPr>
      <w:r>
        <w:t>Regeste</w:t>
      </w:r>
    </w:p>
    <w:p>
      <w:r>
        <w:t>Resultat des Qualifikationsverfahrens als Fachfrau Betreuung EFZ Kinderbetreuung nach Art. 32 BBV (RRB Nr. 188 vom 3. Februar 2015)</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Beschwerdeführerin ist vom angefochtenen Entscheid berührt und hat ein schutzwürdiges Interesse an dessen Aufhebung. Auch die weiteren formellen Voraussetzungen gemäss §§ 43 ff. VPO sind erfüllt, sodass auf die Beschwerde einzutreten ist.</w:t>
      </w:r>
    </w:p>
    <w:p>
      <w:r>
        <w:rPr>
          <w:b/>
        </w:rPr>
        <w:t>E. 2</w:t>
      </w:r>
    </w:p>
    <w:p>
      <w:r>
        <w:t>Die Verfahrenskosten in der Höhe von Fr. 1'400.-- werden der Beschwerdeführerin auferlegt und mit dem geleisteten Kostenvorschuss in der Höhe von Fr. 1'400.-- verrechnet.</w:t>
      </w:r>
    </w:p>
    <w:p>
      <w:r>
        <w:rPr>
          <w:b/>
        </w:rPr>
        <w:t>E. 3</w:t>
      </w:r>
    </w:p>
    <w:p>
      <w:r>
        <w:t>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