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97 vom 16. April 2015</w:t>
      </w:r>
    </w:p>
    <w:p>
      <w:r>
        <w:t>BL Gerichte, 2015-04-16, DE</w:t>
      </w:r>
    </w:p>
    <w:p>
      <w:r>
        <w:rPr>
          <w:b/>
        </w:rPr>
        <w:t xml:space="preserve">Quelle: </w:t>
      </w:r>
      <w:r>
        <w:t>https://mcp.opencaselaw.ch/entscheid/bl_gerichte_810_19_97</w:t>
      </w:r>
    </w:p>
    <w:p>
      <w:r>
        <w:t>FR: BL_GERICHTE 810 19 97 du 16 avril 2015</w:t>
      </w:r>
    </w:p>
    <w:p>
      <w:r>
        <w:t>IT: BL_GERICHTE 810 19 97 del 16 aprile 2015</w:t>
      </w:r>
    </w:p>
    <w:p>
      <w:pPr>
        <w:pStyle w:val="Heading2"/>
      </w:pPr>
      <w:r>
        <w:t>Regeste</w:t>
      </w:r>
    </w:p>
    <w:p>
      <w:r>
        <w:t>Widerruf der Niederlassungsbewilligung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durch den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Angelegenheit wird zur Neuverlegung der Kosten des vorinstanzlichen Verfahrens an den Regierungsrat zurückgewiesen.</w:t>
      </w:r>
    </w:p>
    <w:p>
      <w:r>
        <w:rPr>
          <w:b/>
        </w:rPr>
        <w:t>E. 4</w:t>
      </w:r>
    </w:p>
    <w:p>
      <w:r>
        <w:t>Die Verfahrenskosten in der Höhe von Fr. 1'400.-- werden dem unterliegenden Regierungsrat auferlegt.</w:t>
      </w:r>
    </w:p>
    <w:p>
      <w:r>
        <w:rPr>
          <w:b/>
        </w:rPr>
        <w:t>E. 5</w:t>
      </w:r>
    </w:p>
    <w:p>
      <w:r>
        <w:t>Der Regierungsrat hat dem Beschwerdeführer eine Parteientschädigung in der Höhe von Fr. 2'330.65 (inkl. Auslagen und 7.7%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