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4 vom 14. Dezember 2015</w:t>
      </w:r>
    </w:p>
    <w:p>
      <w:r>
        <w:t>BL Gerichte, 2015-12-14, DE</w:t>
      </w:r>
    </w:p>
    <w:p>
      <w:r>
        <w:rPr>
          <w:b/>
        </w:rPr>
        <w:t xml:space="preserve">Quelle: </w:t>
      </w:r>
      <w:r>
        <w:t>https://mcp.opencaselaw.ch/entscheid/bl_gerichte_810_19_4</w:t>
      </w:r>
    </w:p>
    <w:p>
      <w:r>
        <w:t>FR: BL_GERICHTE 810 19 4 du 14 décembre 2015</w:t>
      </w:r>
    </w:p>
    <w:p>
      <w:r>
        <w:t>IT: BL_GERICHTE 810 19 4 del 14 dicembre 2015</w:t>
      </w:r>
    </w:p>
    <w:p>
      <w:pPr>
        <w:pStyle w:val="Heading2"/>
      </w:pPr>
      <w:r>
        <w:t>Regeste</w:t>
      </w:r>
    </w:p>
    <w:p>
      <w:r>
        <w:t>Beschwerde gegen die Mandatsperson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teilweise gutgeheissen und Ziffer 3 des Entscheides der Kindes- und Erwachsenenschutzbehörde B.____ vom 11. Dezember 2018 wird aufgehoben.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