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19 339 vom 22. April 2020</w:t>
      </w:r>
    </w:p>
    <w:p>
      <w:r>
        <w:t>BL Gerichte, 2020-04-22, DE</w:t>
      </w:r>
    </w:p>
    <w:p>
      <w:r>
        <w:rPr>
          <w:b/>
        </w:rPr>
        <w:t xml:space="preserve">Quelle: </w:t>
      </w:r>
      <w:r>
        <w:t>https://mcp.opencaselaw.ch/entscheid/bl_gerichte_810_19_339</w:t>
      </w:r>
    </w:p>
    <w:p>
      <w:r>
        <w:t>FR: BL_GERICHTE 810 19 339 du 22 avril 2020</w:t>
      </w:r>
    </w:p>
    <w:p>
      <w:r>
        <w:t>IT: BL_GERICHTE 810 19 339 del 22 aprile 2020</w:t>
      </w:r>
    </w:p>
    <w:p>
      <w:pPr>
        <w:pStyle w:val="Heading2"/>
      </w:pPr>
      <w:r>
        <w:t>Regeste</w:t>
      </w:r>
    </w:p>
    <w:p>
      <w:r>
        <w:t>Gesuch um Erteilung der Einreisebewilligung im Rahmen des Familiennachzugs (RRB Nr. 1593 vom 26. November 2019)</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w:t>
      </w:r>
    </w:p>
    <w:p>
      <w:r>
        <w:rPr>
          <w:b/>
        </w:rPr>
        <w:t>E. 1.2</w:t>
      </w:r>
    </w:p>
    <w:p>
      <w:r>
        <w:t>Nach § 47 Abs. 1 lit. a VPO ist zur Beschwerde befugt, wer durch die angefochtene Verfügung oder den angefochtenen Entscheid berührt ist und ein schutzwürdiges Interesse an dessen Änderung oder Aufhebung hat. Der Beschwerdeführer ist Adressat des angefochtenen Entscheids und hat ein schutzwürdiges Interesse an dessen Aufhebung. Die weiteren Eintretensvoraussetzungen sind ebenfalls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Rüge der Unangemessenheit ist dem Kantonsgericht dagegen - abgesehen von hier nicht vorliegenden Ausnahmefällen - untersagt (§ 45 Abs. 1 lit. c VPO e contrario).</w:t>
      </w:r>
    </w:p>
    <w:p>
      <w:r>
        <w:rPr>
          <w:b/>
        </w:rPr>
        <w:t>E. 3</w:t>
      </w:r>
    </w:p>
    <w:p>
      <w:r>
        <w:t>Die Parteikosten werden wettgeschlagen. Zufolge Bewilligung der unentgeltlichen Verbeiständung wird dem Rechtsvertreter des Beschwerdeführers ein Honorar in Höhe von Fr. 3'190.55 (inkl. Auslagen und 7.7% MWST) aus der Gerichtskasse entrichtet. Vizepräsident Gerichtsschreiberin i.V. Gegen diesen Entscheid wurde am 12. August 2020 Beschwerde beim Bundesgericht (Verfahrensnummer 2C_641/2020)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