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19 298 vom 10. Juni 2020</w:t>
      </w:r>
    </w:p>
    <w:p>
      <w:r>
        <w:t>BL Gerichte, 2020-06-10, DE</w:t>
      </w:r>
    </w:p>
    <w:p>
      <w:r>
        <w:rPr>
          <w:b/>
        </w:rPr>
        <w:t xml:space="preserve">Quelle: </w:t>
      </w:r>
      <w:r>
        <w:t>https://mcp.opencaselaw.ch/entscheid/bl_gerichte_810_19_298</w:t>
      </w:r>
    </w:p>
    <w:p>
      <w:r>
        <w:t>FR: BL_GERICHTE 810 19 298 du 10 juin 2020</w:t>
      </w:r>
    </w:p>
    <w:p>
      <w:r>
        <w:t>IT: BL_GERICHTE 810 19 298 del 10 giugno 2020</w:t>
      </w:r>
    </w:p>
    <w:p>
      <w:pPr>
        <w:pStyle w:val="Heading2"/>
      </w:pPr>
      <w:r>
        <w:t>Regeste</w:t>
      </w:r>
    </w:p>
    <w:p>
      <w:r>
        <w:t>Staatssteuer 2016</w:t>
      </w:r>
    </w:p>
    <w:p>
      <w:pPr>
        <w:pStyle w:val="Heading2"/>
      </w:pPr>
      <w:r>
        <w:t>Erwägungen</w:t>
      </w:r>
    </w:p>
    <w:p>
      <w:r>
        <w:rPr>
          <w:b/>
        </w:rPr>
        <w:t>E. 1</w:t>
      </w:r>
    </w:p>
    <w:p>
      <w:r>
        <w:t>Nach § 131 Abs. 1 des Gesetzes über die Staats- und Gemeindesteuern (StG) vom 7. Februar 1974 können Entscheide des Steuergerichts mit Verwaltungsgerichtsbeschwerde beim Kantonsgericht angefochten werden. Die kantonale Steuerverwaltung ist nach § 131 Ab. 2 lit. c StG zur Beschwerdeerhebung legitimiert. Da sämtliche weiteren formellen Voraussetzungen gemäss den §§ 43 ff. des Gesetzes über die Verfassungs- und Verwaltungsprozessordnung (VPO) vom 16. Dezember 1993 erfüllt sind, kann auf die vorliegende Beschwerde eingetreten werden.</w:t>
      </w:r>
    </w:p>
    <w:p>
      <w:r>
        <w:rPr>
          <w:b/>
        </w:rPr>
        <w:t>E. 2</w:t>
      </w:r>
    </w:p>
    <w:p>
      <w:r>
        <w:t>Mit der Beschwerde in Steuersachen können gemäss § 45 Abs. 2 VPO alle Mängel des angefochtenen Entscheids und des vorangegangenen Verfahrens gerügt werden. Somit kann das Kantonsgericht vorliegend auch die Angemessenheit des angefochtenen Entscheids überprüfen. Gemäss § 18 Abs. 3 VPO ist das Kantonsgericht bei Beschwerden in Steuersachen nicht an die Begehren der Parteien gebunden und es stehen ihm die gleichen Befugnisse zu wie den Einschätzungsbehörden. 3.1 Vorliegend ist strittig, ob die Liquidation der Kollektivgesellschaft "F.____" bzw. das Ausscheiden der beiden Gesellschafter A.____ und B.____ einen Revisionsgrund für die Staatssteuer 2016 darstellt. 3.2 Nach der im Steuerrecht allgemein gültigen Regel trägt die Steuerbehörde die Beweislast für steuerbegründende Tatsachen, während der Beweis für steueraufhebende oder steuermindernde Tatsachen grundsätzlich dem Steuerpflichtigen obliegt und er steuermindernde Tatsachen nicht nur zu behaupten, sondern auch zu belegen hat (BGE 140 II 248 E. 3.5 m.w.H.). Bei der vorliegend geltend gemachten privilegierten Liquidationsbesteuerung handelt es sich um steuermindernde Tatsachen, welche von den privaten Beschwerdegegnern zu belegen sind. 4.1 Gegen die Veranlagungsverfügungen zur Bundes- und Staatssteuer 2016 wurden innert der 30-tägigen Frist keine Rechtsmittel erhoben. Diese Veranlagungsverfügungen erwuchsen somit in Rechtskraft. Die privaten Beschwerdegegner haben nach eigenen Angaben am 6. Juni 2018 entschieden, aus der Kollektivgesellschaft auszuscheiden und die entsprechende Meldung wurde am 11. Juni 2018 im Tagesregister des Schweizerischen Handelsamtsblatts (SHAB) publiziert. Ihr Revisionsgesuch reichten die privaten Beschwerdegegner mit Eingabe vom 8. Juni 2018 bei der Beschwerdeführerin ein, womit die 90-tägige Frist gemäss § 132 Abs. 3 StG eingehalten wurde. 4.2.1 Gemäss § 132 Abs. 1 StG kann eine rechtskräftige Veranlagung oder ein rechtskräftiger Entscheid auf Antrag oder von Amtes wegen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Vergehen die Verfügung oder den Entscheid beeinflusst hat (lit. c). Eine Revision ist jedoch ausgeschlossen, wenn der Antragsteller als Revisionsgrund vorbringt, was er bei der ihm zumutbaren Sorgfalt schon im ordentlichen Verfahren hätte geltend machen können (§ 132 Abs. 2 StG). Die Bestimmung in § 132 StG ist identisch mit den Bestimmungen in Art. 147 DBG und Art. 51 des Bundesgesetzes über die Harmonisierung der direkten Steuern der Kantone und Gemeinden (StHG) vom 14. Dezember 1990, weshalb nachfolgend auf die Literatur und Rechtsprechung zum DGB und StHG verwiesen werden kann. 4.2.2 Eine Revision kommt zunächst dann in Frage, wenn erhebliche ("entscheidende") Tatsachen oder Beweismittel entdeckt werden (§ 132 Abs. 1 lit. a StG). Damit soll ein falscher oder unvollständiger Sachverhalt, der einer Veranlagung resp. einem Entscheid zugrunde liegt, nachträglich berichtigt oder ergänzt werden. Aufgrund dieses Revisionsgrundes wird der korrekte, entscheidungserhebliche Sachverhalt festgestellt und gestützt darauf soll eine neue Beurteilung auf verbesserter Grundlage stattfinden. Der ursprüngliche Mangel einer rechtskräftigen Veranlagung resp. eines rechtskräftigen Entscheids wird infolge Entdeckung entscheidender Tatsachen oder Beweismittel nachträglich beseitigt ( Martin E. Looser , in: Zweifel/Beusch [Hrsg.], Kommentar zum Schweizerischen Steuerrecht Bundesgesetz über die Harmonisierung der direkten Steuern der Kantone und Gemeinden [Kommentar StGH], 3. Auflage, Basel 2017, N 10 zu Art. 51 StGH). 4.2.3 Tatsachen im gegebenen Kontext sind Zustände oder Vorgänge (Ereignisse), die den gesetzlichen Steuertatbestand betreffen. Anlass für eine Revision sind nur erhebliche Tatsachen. Eine Tatsache ist erheblich, wenn sie geeignet ist, den von der rechtsanwendenden Instanz zugrunde gelegten Sachverhalt rechtsrelevant zu verändern und dadurch zu einer anderen Entscheidung Anlass zu geben. Als erhebliche Tatsachen, die eine Revision auslösen können, gelten grundsätzlich diejenigen, die nachträglich entdeckt werden (sog. unechte Noven), nicht aber solche, die nachträglich eingetreten sind. Echte Noven sind somit grundsätzlich von der Revision ausgeschlossen. Gemäss der bundesgerichtlichen Praxis müssen sich also die Tatsachen, die dem Gesuchsteller nachträglich bekannt wurden, im Zeitpunkt der Verfügung resp. des Entscheids verwirklicht haben bzw. bereits bestanden haben, den Gesuchstellern aber noch nicht bekannt gewesen sein (vgl. Peter Locher , Kommentar zum Bundesgesetz über die direkte Bundessteuer, III. Teil, Art.102-222 DBG, Basel 2015, N 14 zu § 147 DBG m.w.H.; Felix Richner/Walter Frei/Stefan Kaufmann/Hans Ulrich Meuter , Handkommentar zum DBG, 3. Auflage, Zürich 2016, N 18 f. zu Art. 147 DBG). 4.3 Vorliegend haben die privaten Beschwerdegegner am 6. Juni 2018 die Aufgabe ihrer selbständigen Erwerbstätigkeit rückwirkend per 31. Dezember 2017 beschlossen. Dieser Entscheid ist somit offensichtlich erst nach der für die Veranlagung des Steuerjahres 2016 massgebenden Zeitspanne entstanden. Im Zeitpunkt der Veranlagung des Jahres 2016 hat der Entscheid, aus der Kollektivgesellschaft auszusteigen, noch nicht bestanden. Der Entscheid zur Aufgabe der selbständigen Tätigkeit ist augenscheinlich erst nachträglich gefällt worden und stellt daher ein echtes Novum dar, welches einen Revisionsgrund gemäss § 132 StG ausschliesst. 5.1.1 Neben den Revisionsgründen in § 132 StG sieht § 36 bis StG eine nachträgliche Herauslösung des Liquidationsgewinnes der letzten beiden Geschäftsjahre aus rechtskräftigen Veranlagungen von selbständig Erwerbenden, welche die selbständige Erwerbstätigkeit nach dem vollendeten 55. Altersjahr oder wegen Unfähigkeit zur Weiterführung infolge Invalidität definitiv aufgegeben haben, vor. § 36 bis Abs. 1 StG schafft insofern eine Privilegierung, als die Summe der realisierten stillen Reserven der letzten beiden Geschäftsjahre vor der Aufgabe der selbständigen Erwerbstätigkeit mittels einer Sonderveranlagung zu einem reduzierten Steuersatz und getrennt vom übrigen Einkommen besteuert wird. Somit ist der Liquidationsgewinn der Vorperiode des Liquidationsjahres revisionsweise aus deren (rechtskräftig festgesetzter) Bemessungsgrundlage herauszulösen und der privilegierten Besteuerung zuzuführen. Das übrige steuerbare Einkommen aus selbständiger Erwerbstätigkeit der Vorperiode, welches ordentlich besteuert bleibt, reduziert sich damit um den Liquidationsgewinn ( Olivier Margraf , Ausgewählte Aspekte des Revisionsverfahrens gemäss Art. 147-149 DBG, Steuer Revue [StR] 69/2014 S. 76, S. 82; Peter Locher , a.a.O., N 5 zu Art. 37b DBG). Die gleichlautende Bestimmung in Art. 37b DBG wurde im Rahmen der Unternehmenssteuerreform II eingeführt, mit dem Ziel, die infolge der Progression des Steuertarifs oft als stossend empfundene steuerliche Belastung zu mildern, welche entsteht, wenn die im Laufe der Zeit akkumulierten stillen Reserven im Zuge der Unternehmensliquidation auf einen Schlag aufgelöst werden (Botschaft zum Bundesgesetz über die Verbesserung der steuerlichen Rahmenbedingungen für unternehmerische Tätigkeiten und Investitionen vom 22. Juni 2005 [Botschaft Unternehmenssteuerreformgesetz II]). 5.1.2 Zusammen mit § 36 bis StG ist die Verordnung über die Besteuerung der Liquidationsgewinne bei definitiver Aufgabe der selbständigen Erwerbstätigkeit (LGBV BL) vom 14. Dezember 2010 in Kraft getreten. Nach § 36 bis StG bemisst sich der Liquidationsgewinn aus der Summe der in den letzten zwei Geschäftsjahren realisierten stillen Reserven. Als Liquidationsjahr wird dasjenige Geschäftsjahr bezeichnet, in dem die Liquidation abgeschlossen wird (§ 2 LGBV BL). Der Zeitpunkt des Abschlusses der Liquidation ist im Einzelfall zu klären. In der Regel ist eine Liquidation abgeschlossen, wenn die letzte Inkassohandlung eingeleitet ist. Da es sich dabei manchmal um marginale Beträge handeln kann, sollen jedoch auch andere Umstände das Ende der Liquidation darstellen können, so zum Beispiel, wenn die Erwerbs- und Verkaufstätigkeiten eingestellt und/oder die Arbeitsverträge mit den Angestellten aufgelöst werden (Kreisschreiben der ESTV Nr. 28, Besteuerung der Liquidationsgewinne bei definitiver Aufgabe der selbständigen Erwerbstätigkeit vom 3. November 2010 [Kreisschreiben Nr. 28], S. 4). Zur Bemessung des Liquidationsgewinnes hält § 9 LGBV BL fest, dass der übrige Liquidationsgewinn die im Liquidationsjahr und im Vorjahr realisierten stillen Reserven umfasst. Ist die Veranlagung des Vorjahres bereits in Rechtskraft erwachsen, so wird sie bei der Anwendung von § 36 bis StG nach § 132 StG revidiert (vgl. Kreisschreiben Nr. 28, S. 4 f.; Richner/Frei/Kauf- mann/Meuter , a.a.O., N 14 zu Art. 37b DBG). Der privilegierten Besteuerung i.S.v. § 36 bis StG unterliegen demzufolge die realisierten stillen Reserven des Liquidations- und des Vorjahres (§ 9 LGBV BL i.V.m. § 2 LGBV BL). 5.2.1 Die Steuererleichterung gemäss § 36 bis StG soll nur gewährt werden für Gewinne, die bei der endgültigen Übertragung oder Liquidation eines Unternehmens anfallen. Wenn ein Unternehmen während seines Bestandes einen Teil seiner Geschäftsaktiven veräussert und dadurch ausserordentliches Einkommen erzielt, so gilt dieses weiterhin als Bestandteil des gesamthaft zu besteuernden Nettoeinkommens (vgl. Botschaft Unternehmenssteuerreformgesetz II, S. 4824). Erforderlich ist somit stets ein hinreichender Kausalzusammenhang zwischen Realisation und Liquidation, wobei sich die Realisation als unmittelbare Folge der Liquidation darstellt. Ein Beispiel ist die Veräusserung eines unter dem Verkehrswert bewerteten Bürogebäudes (Anlagevermögen), das aufgrund der beendigten Erwerbstätigkeit nicht mehr benötigt wird. Gleiches gilt für das Warenlager (Umlaufvermögen), das auf den Nachfolger übertragen wird und bisher zu den Anschaffungskosten bewertet war. In einem solchen Fall ist unstreitig, dass die Aufdeckung der stillen Reserven einzig auf die Liquidation zurückzuführen ist. So oder anders ist die privilegierte Besteuerung geboten, denn ohne Liquidation wäre es mutmasslich (zumindest in absehbarer Zeit) zu keiner Realisation der stillen Reserven gekommen. Der buchhalterische Charakter - Umlauf- oder Anlagevermögen - kann mit Blick auf diese Konzeption keine Rolle spielen. Massgebend ist vielmehr der dargelegte Kausalzusammenhang zwischen Liquidation und Realisation (Urteil des Bundesgerichts 2C_302/2018 vom 9. August 2018 E. 2.2.6; Urteil des Kantonsgerichts, Abteilung Verfassungs- und Verwaltungsrecht [KGE VV], vom 8. März 2019 [ 810 18 329] E. 5.2.4; § 1 Abs. 3 lit. a LGBV BL). 5.2.2 Wo nicht (nur) die Liquidation zur Realisation der stillen Reserven führt, soll es bei der angestammten Besteuerung bleiben. Entsprechend unterliegen Einkünfte aus selbständiger Erwerbstätigkeit den ordentlichen Regeln, soweit nicht ausnahmsweise ein wahrer Liquidationsgewinn im Sinne von § 36 bis StG gegeben ist. Nichts anderes ergibt sich aus § 1 Abs. 3 lit. a LGBV BL, wonach vom sachlichen Anwendungsbereich der Verordnung Einkünfte aus selbständiger Erwerbstätigkeit und andere Einkünfte, die nicht aus der Liquidation stammen ausgenommen sind. Mit dieser Formulierung wird der Normgehalt von § 36 bis StG präzisiert. Mit der Bestimmung in § 36 bis StG wird die Absicht verfolgt, über Jahre akkumulierte stille Reserven privilegiert auflösen zu können. Nicht beabsichtigt ist hingegen die Möglichkeit, willkürlich ordentliche Einnahmen zu privilegieren (vgl. Urteil des Bundesgerichts 2C_302/2018 vom 9. August 2018 E. 2.2.7; KGE VV vom 8. März 2019 [ 810 18 329] E. 5.2.4 ). 5.3 Die privaten Beschwerdegegner haben unbestrittenermassen erst im Mai 2018 mit den Überlegungen zur Aufgabe ihrer selbständigen Erwerbstätigkeit begonnen. Erst am 6. Juni 2018 haben sie definitiv beschlossen, ihre selbständige Erwerbstätigkeit aufzugeben. Dementsprechend wurde in der Folge die Kollektivgesellschaft "F.____" im Handelsregister per Tagesregistereintrag vom 11. Juni 2018 in die Einzelfirma "G.____" umgewandelt. Den Ausführungen der privaten Beschwerdegegner, wonach sie ihre selbständige Tätigkeit rückwirkend per 31. Dezember 2017 aufgegeben hätten, kann nicht gefolgt werden. Wie die Beschwerdeführerin zu Recht vorbringt, kann ein Entschluss zur Aufgabe der Erwerbstätigkeit insbesondere mit Blick auf die Rechtssicherheit grundsätzlich nur für die Zukunft und die Gegenwart gefasst werden. Vor diesem Hintergrund wurden die Aufgabe der selbständigen Erwerbstätigkeit der privaten Beschwerdegegner und die daraus folgende Liquidation ihrer Kollektivgesellschaft offensichtlich im Jahr 2018 beschlossen und vollzogen. Damit stellt das Geschäftsjahr 2018 das Liquidationsjahr im Sinne von § 36 bis StG dar. Folglich kommt neben dem Geschäftsjahr 2018 nur das Vorjahr 2017 für eine privilegierte Besteuerung der während diesen beiden Geschäftsjahren realisierten stillen Reserven in Frage (vgl. § 9 LGBV BL). Das vorliegend strittige Geschäftsjahr 2016 fällt somit nicht mehr in den Anwendungsbereich von § 36 bis StG, was eine privilegierte Besteuerung der in diesem Jahr angeblich realisierten stillen Reserven ausschliesst. Überdies vermögen die privaten Beschwerdegegner für die erfolgte Reduktion bzw. Ausbuchung der Rückstellungen für die Gipfeltriebernte im Geschäftsjahr 2016 keinen kausalen Zusammenhang zur Aufgabe ihrer selbständigen Tätigkeit bzw. zur Liquidation der Kollektivgesellschaft im Jahr 2018 zu begründen. Ein solcher lässt sich auch aus den vorliegenden Akten nicht entnehmen. Es liegt vielmehr nahe, die Ausbuchung der Rückstellungen auf den ordentlichen Betrieb der Kollektivgesellschaft zurückzuführen, zumal der Entscheid zur Aufgabe der selbständigen Erwerbstätigkeit erst im Jahr 2018 gefällt wurde und somit offensichtlich nicht kausal sein konnte für die Reduktion der Rückstellungen im Jahr 2016. Die Reduktion und Ausbuchung wurde unabhängig von der zwei Jahre später erfolgten Liquidation vorgenommen und wäre auch ohne diese erfolgt. Die privaten Beschwerdegegner geben selber an, dass die Reduktion der Rückstellungen darauf zurückzuführen sei, dass das bisher für die Gipfeltriebernte vorgesehene Helikopterunternehmen durch ein günstigeres Unternehmen abgelöst worden sei. Es kann sich insofern bei der Ausbuchung der Rückstellungen für die Gipfelernte im Jahr 2016 nicht um einen Gewinn aus der Liquidation im Jahr 2018 handeln. Eine privilegierte Besteuerung gemäss § 36 bis StG ist damit auch aus diesem Grund nicht gerechtfertigt. 5.4 Zusammenfassend ist festzustellen, dass die Voraussetzungen von § 36 bis StG nicht erfüllt sind und insbesondere die Aufgabe der selbständigen Tätigkeit bzw. die Liquidation der Kollektivgesellschaft im Jahr 2018 in keinem Kausalzusammenhang zur Reduktion und Ausbuchung der Rückstellungen im Jahr 2016 steht. Ein Revisionsgrund für die rechtskräftige Veranlagung der Staatssteuer 2016 liegt nicht vor. Die im angefochtenen Entscheid gewährte privilegierte Besteuerung der Rückstellungsausbuchung in der Höhe von Fr. 28'572.-- für die Gipfeltriebernte im Geschäftsjahr 2016 ist demzufolge rechtswidrig. Ob es sich bei der Reduktion und Ausbuchung der Rückstellungen für die periodisch wiederkehrende Ernte der Gipfeltriebe um eine Realisation von stillen Reserven gehandelt hat, muss demzufolge nicht weiter beurteilt werden.</w:t>
      </w:r>
    </w:p>
    <w:p>
      <w:r>
        <w:rPr>
          <w:b/>
        </w:rPr>
        <w:t>E. 6</w:t>
      </w:r>
    </w:p>
    <w:p>
      <w:r>
        <w:t>Die vorliegende Beschwerde erweist sich als begründet und ist vollumfänglich gutzuheissen. Der Entscheid des Steuergerichts vom 9. August 2019 ist demzufolge aufzuheben.</w:t>
      </w:r>
    </w:p>
    <w:p>
      <w:r>
        <w:rPr>
          <w:b/>
        </w:rPr>
        <w:t>E. 7</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sind in der Höhe von Fr. 1'400.-- festzulegen. Dem Steuergericht sind praxisgemäss keine Verfahrenskosten aufzuerlegen. Den unterliegenden privaten Beschwerdegegnern A.____ und B.____ ist ein Verfahrenskostenanteil im Umfang von Fr. 700.-- aufzuerlegen. Der erhobene Kostenvorschuss in der Höhe von Fr. 1'400.-- ist der Beschwerdeführerin zurückzuzahlen. Die Parteikosten sind gemäss § 21 VPO wettzuschlagen.</w:t>
      </w:r>
    </w:p>
    <w:p>
      <w:r>
        <w:rPr>
          <w:b/>
        </w:rPr>
        <w:t>E. 8</w:t>
      </w:r>
    </w:p>
    <w:p>
      <w:r>
        <w:t>Die Angelegenheit ist zur Neuverlegung der Kosten des vorinstanzlichen Verfahrens an das Steuergericht zurückzuweisen. Demgemäss wird erkannt: ://: 1. In Gutheissung der Beschwerde wird der Entscheid des Steuer- und Enteignungsgerichts Basel-Landschaft, Abteilung Steuergericht, vom 9. August 2019 betreffend die Staatssteuer 2016 aufgehoben und der Entscheid der kantonalen Steuerverwaltung vom 15. Februar 2019 bestätigt. 2. Die Angelegenheit wird zur Neuverlegung der Kosten des vorinstanzlichen Verfahrens an das Steuer- und Enteignungsgericht Basel-Landschaft, Abteilung Steuergericht, zurückgewiesen. 3. Den privaten Beschwerdegegnern A.____ und B.____ wird ein Verfahrenskostenanteil in der Höhe von Fr. 700.-- auferlegt. Der geleistete Kostenvorschuss in der Höhe von Fr. 1‘400.-- wird der Beschwerdeführerin zurückerstattet. 4.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