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19 296 vom 1. April 2020</w:t>
      </w:r>
    </w:p>
    <w:p>
      <w:r>
        <w:t>BL Gerichte, 2020-04-01, DE</w:t>
      </w:r>
    </w:p>
    <w:p>
      <w:r>
        <w:rPr>
          <w:b/>
        </w:rPr>
        <w:t xml:space="preserve">Quelle: </w:t>
      </w:r>
      <w:r>
        <w:t>https://mcp.opencaselaw.ch/entscheid/bl_gerichte_810_19_296</w:t>
      </w:r>
    </w:p>
    <w:p>
      <w:r>
        <w:t>FR: BL_GERICHTE 810 19 296 du 1 avril 2020</w:t>
      </w:r>
    </w:p>
    <w:p>
      <w:r>
        <w:t>IT: BL_GERICHTE 810 19 296 del 1 aprile 2020</w:t>
      </w:r>
    </w:p>
    <w:p>
      <w:pPr>
        <w:pStyle w:val="Heading2"/>
      </w:pPr>
      <w:r>
        <w:t>Regeste</w:t>
      </w:r>
    </w:p>
    <w:p>
      <w:r>
        <w:t>Tierhaltung (RRB Nr. 1404 vom 22. Oktober 2019)</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Der Beschwerdeführer ist als Adressat vom angefochtenen Beschluss berührt und hat ein schutzwürdiges Interesse an dessen Aufhebung. Da auch die übrigen formellen Voraussetzungen erfüllt und sowohl die örtliche als auch die sachliche Zuständigkeit des Kantonsgerichts gegeben sind, ist auf die vorliegende Beschwerde einzutreten.</w:t>
      </w:r>
    </w:p>
    <w:p>
      <w:r>
        <w:rPr>
          <w:b/>
        </w:rPr>
        <w:t>E. 2</w:t>
      </w:r>
    </w:p>
    <w:p>
      <w:r>
        <w:t>Die Verfahrenskosten in der Höhe von Fr. 1'400.-- werden dem Beschwerdeführer auferlegt und mit dem geleisteten Kostenvorschuss in der Höhe von Fr. 2'200.-- verrechnet. Der zu viel geleistete Kostenvorschuss in der Höhe von Fr. 800.-- wird dem Beschwerdeführer zurückerstattet.</w:t>
      </w:r>
    </w:p>
    <w:p>
      <w:r>
        <w:rPr>
          <w:b/>
        </w:rPr>
        <w:t>E. 3</w:t>
      </w:r>
    </w:p>
    <w:p>
      <w:r>
        <w:t>Die Parteikosten werden wettgeschlagen. Vizepräsident Gerichtsschreiberin Gegen diesen Entscheid wurde am 8. Juni 2020 Beschwerde beim Bundesgericht (Verfahrensnummer 2C_416/2020)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