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15 vom 7. Dezember 2018</w:t>
      </w:r>
    </w:p>
    <w:p>
      <w:r>
        <w:t>BL Gerichte, 2018-12-07, DE</w:t>
      </w:r>
    </w:p>
    <w:p>
      <w:r>
        <w:rPr>
          <w:b/>
        </w:rPr>
        <w:t xml:space="preserve">Quelle: </w:t>
      </w:r>
      <w:r>
        <w:t>https://mcp.opencaselaw.ch/entscheid/bl_gerichte_810_19_15</w:t>
      </w:r>
    </w:p>
    <w:p>
      <w:r>
        <w:t>FR: BL_GERICHTE 810 19 15 du 7 décembre 2018</w:t>
      </w:r>
    </w:p>
    <w:p>
      <w:r>
        <w:t>IT: BL_GERICHTE 810 19 15 del 7 dicembre 2018</w:t>
      </w:r>
    </w:p>
    <w:p>
      <w:pPr>
        <w:pStyle w:val="Heading2"/>
      </w:pPr>
      <w:r>
        <w:t>Regeste</w:t>
      </w:r>
    </w:p>
    <w:p>
      <w:r>
        <w:t>Submission IT Servicebezug Verwaltung B.____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2'000.-- gehen zu Lasten der Beschwerdegegnerin. Der geleistete Kostenvorschuss in der Höhe von Fr. 1'400.-- wird der Beschwerdeführerin zurückerstattet.</w:t>
      </w:r>
    </w:p>
    <w:p>
      <w:r>
        <w:rPr>
          <w:b/>
        </w:rPr>
        <w:t>E. 3</w:t>
      </w:r>
    </w:p>
    <w:p>
      <w:r>
        <w:t>Die Beschwerdegegnerin hat der Beschwerdeführerin eine Parteientschädigung in der Höhe von Fr. 18'416.70 (inkl. MWSt) auszurichten. Im Übrigen werden die Parteikosten wettgeschlagen. Präsidentin Gerichtsschreiber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