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12 vom 30. Oktober 2019</w:t>
      </w:r>
    </w:p>
    <w:p>
      <w:r>
        <w:t>BL Gerichte, 2019-10-30, DE</w:t>
      </w:r>
    </w:p>
    <w:p>
      <w:r>
        <w:rPr>
          <w:b/>
        </w:rPr>
        <w:t xml:space="preserve">Quelle: </w:t>
      </w:r>
      <w:r>
        <w:t>https://mcp.opencaselaw.ch/entscheid/bl_gerichte_810_19_12</w:t>
      </w:r>
    </w:p>
    <w:p>
      <w:r>
        <w:t>FR: BL_GERICHTE 810 19 12 du 30 octobre 2019</w:t>
      </w:r>
    </w:p>
    <w:p>
      <w:r>
        <w:t>IT: BL_GERICHTE 810 19 12 del 30 ottobre 2019</w:t>
      </w:r>
    </w:p>
    <w:p>
      <w:pPr>
        <w:pStyle w:val="Heading2"/>
      </w:pPr>
      <w:r>
        <w:t>Regeste</w:t>
      </w:r>
    </w:p>
    <w:p>
      <w:r>
        <w:t>Widerruf der Niederlassungsbewilligung und Wegweisung aus der Schweiz (RRB Nr. 30 vom 15. Januar 2019)</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Der Regierungsrat des Kantons Basel-Landschaft hat dem Beschwerdeführer für das kantonsgerichtliche Verfahren eine Parteientschädigung in der Höhe von Fr. 3'884.70 (inkl. Auslagen und 7.7% MWST) zu bezahlen.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