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19 104 vom 18. September 2019</w:t>
      </w:r>
    </w:p>
    <w:p>
      <w:r>
        <w:t>BL Gerichte, 2019-09-18, DE</w:t>
      </w:r>
    </w:p>
    <w:p>
      <w:r>
        <w:rPr>
          <w:b/>
        </w:rPr>
        <w:t xml:space="preserve">Quelle: </w:t>
      </w:r>
      <w:r>
        <w:t>https://mcp.opencaselaw.ch/entscheid/bl_gerichte_810_19_104</w:t>
      </w:r>
    </w:p>
    <w:p>
      <w:r>
        <w:t>FR: BL_GERICHTE 810 19 104 du 18 septembre 2019</w:t>
      </w:r>
    </w:p>
    <w:p>
      <w:r>
        <w:t>IT: BL_GERICHTE 810 19 104 del 18 settembre 2019</w:t>
      </w:r>
    </w:p>
    <w:p>
      <w:pPr>
        <w:pStyle w:val="Heading2"/>
      </w:pPr>
      <w:r>
        <w:t>Regeste</w:t>
      </w:r>
    </w:p>
    <w:p>
      <w:r>
        <w:t>Staatssteuer 2013; Revisionsentscheid</w:t>
      </w:r>
    </w:p>
    <w:p>
      <w:pPr>
        <w:pStyle w:val="Heading2"/>
      </w:pPr>
      <w:r>
        <w:t>Erwägungen</w:t>
      </w:r>
    </w:p>
    <w:p>
      <w:r>
        <w:rPr>
          <w:b/>
        </w:rPr>
        <w:t>E. 1</w:t>
      </w:r>
    </w:p>
    <w:p>
      <w:r>
        <w:t>Nach § 131 Abs. 1 StG können 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eingetreten werden.</w:t>
      </w:r>
    </w:p>
    <w:p>
      <w:r>
        <w:rPr>
          <w:b/>
        </w:rPr>
        <w:t>E. 2</w:t>
      </w:r>
    </w:p>
    <w:p>
      <w:r>
        <w:t>Eine Revision ist jedoch ausgeschlossen, wenn der Antragsteller als Revisionsgrund vorbringt, was er bei der ihm zumutbaren Sorgfalt schon im ordentlichen Verfahren hätte geltend machen können.</w:t>
      </w:r>
    </w:p>
    <w:p>
      <w:r>
        <w:rPr>
          <w:b/>
        </w:rPr>
        <w:t>E. 3</w:t>
      </w:r>
    </w:p>
    <w:p>
      <w:r>
        <w:t>Das Revisionsbegehren muss innert 90 Tagen seit Entdeckung des Revisionsgrundes, spätestens jedoch innert 10 Jahren nach Eröffnung der Verfügung oder des Entscheids eingereicht werden." 4.2. Die Absätze 1 und 2 des § 132 StG lauten identisch wie die Absätze 1 und 2 des Art. 147 des Bundesgesetzes über die direkte Bundessteuer (DBG) vom 14. Dezember 1990 und die Absätze 1 und 2 des Art. 51 des Bundesgesetzes über die Harmonisierung der direkten Steuern der Kantone und Gemeinden (StHG) vom 14. Dezember 1990, weshalb nachfolgend auch unbesehen auf die Literatur zu den Bestimmungen im DBG und StHG verwiesen werden kann (Urteil des Kantonsgerichts, Abteilung Verfassungs- und Verwaltungsrecht [KGE VV], vom 10. Januar 2018 [ 810 17 193] E. 3.4 ). 4.3. Gemäss § 132 Abs. 2 StG, Art. 147 Abs. 2 DBG und Art. 51 Abs. 2 StHG ist die Revision ausgeschlossen, wenn der Antragsteller als Revisionsgrund vorbringt, was er bei der ihm zumutbaren Sorgfalt schon im ordentlichen Verfahren hätte geltend machen können. Dabei sind hohe Anforderungen an das Mass der Sorgfalt zu stellen (Urteil des Bundesgerichts 2C_581/2011 vom 27. März 2012 E. 3.1; Martin E. Looser , in: Zweifel/Beusch [Hrsg.], Kommentar zum Schweizerischen Steuerrecht, Bundesgesetz über die Harmonisierung der direkten Steuern der Kantone und Gemeinden [Kommentar StGH], 3. Aufl., Basel 2017, Rz. 26 und 26a zu Art. 51 StGH). Gerechtfertigt wird der Grundsatz mit der Subsidiarität der Revision und den Erfordernissen der Rechtssicherheit; ein ausserordentliches Rechtsmittel soll nicht dazu dienen, früher nicht ergriffene ordentliche Rechtsmittel zu ersetzen. Bei der Einsprache gegen die Veranlagungsverfügung handelt es sich um ein ordentliches Rechtsmittel, bei der Revision um ein ausserordentliches Rechtsmittel ( Martin Zweifel/Silvia Hunziker , in: Zweifel/Beusch [Hrsg.], Kommentar zum Schweizerischen Steuerrecht, Bundesgesetz über die Harmonisierung der direkten Steuern der Kantone und Gemeinden [Kommentar StGH], 3. Aufl., Basel 2017, Rz. 1 zu Art. 48 StGH; Looser , in: Kommentar StGH, a.a.O., Rz. 2 zu Art. 51 StGH). Was mit einem ordentlichen Rechtsmittel rügbar gewesen wäre, stellt grundsätzlich keinen Revisionsgrund dar, denn ein ausserordentliches Rechtsmittel soll keine Aushöhlung der ordentlichen Rechtsmittelfrist bewirken. Die Revision dient nicht dem Zweck, vermeidbare Unterlassungen während des ordentlichen Verfahrens im Rahmen des Revisionsverfahrens nachholen zu können, selbst wenn an sich ein Revisionsgrund vorliegen würde. Demzufolge ist die Revision zum Beispiel ausgeschlossen, wenn aus Nachlässigkeit des Steuerpflichtigen (oder seines Vertreters) wesentliche Sachverhaltselemente im ordentlichen Veranlagungs- oder Rechtsmittelverfahren nicht vorgebracht worden sind (Deklarationsirrtum), oder wenn der Steuerpflichtige bei Prüfung der ihm eröffneten Veranlagung - allenfalls unter Beizug eines Sachverständigen - den Sachverhalts- oder Rechtsirrtum der Behörde sofort hätte entdecken können. Nicht mit der nötigen Sorgfalt handelt insbesondere auch, wer nicht rechtzeitig die zur Veranlagung notwendigen Angaben macht und Unterlagen vorlegt, so dass er nach Ermessen veranlagt werden muss. Ausgeschlossen ist die Revision auch, wenn als "provisorisch" deklarierte Einkünfte in der Folge definitiv veranlagt werden, ohne dass vom Steuerpflichtigen dagegen ein Rechtsmittel ergriffen wird ( Martin E. Looser , in: Zweifel/Beusch [Hrsg.], Kommentar zum Schweizerischen Steuerrecht, Bundesgesetz über die direkte Bundessteuer [Kommentar DBG], 3. Aufl., Basel 2017, Rz. 24 zu Art. 147 DBG; Looser , in: Kommentar StGH, a.a.O., Rz. 25 ff. zu Art. 51 StGH; Hugo Casanova/Martin Zweifel , Schweizerisches Steuerverfahrensrecht, Direkte Steuern, Grundzüge des Steuerrechts, Band Nr. 2, Zürich 2008, § 26, Rz. 54). 4.4. Die Revision kommt zunächst dann in Frage, wenn erhebliche ("entscheidende") Tatsachen oder Beweismittel entdeckt werden (Art. 51 Abs. 1 lit. a StHG). Damit soll ein falscher oder unvollständiger Sachverhalt, der einer Veranlagung resp. einem Entscheid zugrunde liegt, nachträglich berichtigt oder ergänzt werden. Aufgrund dieses Revisionsgrundes wird also der korrekte, entscheidungserhebliche Sachverhalt festgestellt und gestützt darauf soll eine neue Beurteilung auf verbesserter Grundlage stattfinden. Mit anderen Worten, der ursprüngliche Mangel einer rechtskräftigen Veranlagung resp. eines rechtskräftigen Entscheids wird infolge Entdeckung entscheidender Tatsachen oder Beweismittel nachträglich beseitigt ( Looser , Kommentar StGH, a.a.O., Rz. 10 zu Art. 51 StGH m.w.H.). 4.5. Tatsachen im gegebenen Kontext sind Zustände oder Vorgänge (Ereignisse), die den gesetzlichen Steuertatbestand betreffen. Anlass für eine Revision sind nicht irgendwelche Tatsachen, sondern nur erhebliche. Eine Tatsache ist erheblich, wenn sie geeignet ist, den von der rechtsanwendenden Instanz zugrunde gelegten Sachverhalt rechtsrelevant zu verändern und dadurch zu einer anderen Entscheidung Anlass zu geben. Mit anderen Worten, eine erhebliche Tatsache führt bei deren Vorhandensein oder Nichtvorhandensein zu unterschiedlichen Steuerfolgen. Die rechtliche Würdigung der erheblichen Tatsachen ist hingegen selbst keine Tatsache. Deshalb stellen nach der Praxis des Bundesgerichts eine neue rechtliche Würdigung eines Sachverhalts, eine neue Rechtsprechung oder die Änderung einer bestehenden Rechtsprechungspraxis - auch wenn die frühere Praxis auf einer verfassungswidrigen gesetzlichen Grundlage beruhte - keine Revisionsgründe dar. Bei einem späteren Strafurteil handelt es sich nach bundesgerichtlicher Rechtsprechung beispielsweise nicht um eine Tatsache, die bereits im früheren Verfahren bestand, soweit das Strafgericht ausschliesslich vorbestandenes Tatsachen- und Beweismaterial aus strafrechtlicher Optik gewürdigt hat. Ebenso wenig rechtfertigt die in einer Fachpublikation geäusserte abweichende Rechtsauffassung oder Kritik an Urteilen oder an der herrschenden Meinung eine Revision der Verfügung resp. des Entscheids. Solchen Abhandlungen können keine neuen entscheidrelevanten Tatsachen entnommen werden. Ebenfalls sind Schätzungen oder Bewertungen von steuerbaren Objekten an sich nicht geeignet, neue Tatsachen im Sinne des Revisionsrechts zu schaffen. Es lässt sich somit festhalten, dass die Darlegung, der angefochtene Entscheid bzw. die angefochtene Verfügung sei in ihren rechtlichen oder tatsächlichen Annahmen falsch, alleine für eine Revision nicht genügt ( Looser , Kommentar StGH, a.a.O., Rz. 11 zu Art. 51 StGH m.w.H.). 4.6. Als erhebliche Tatsachen, die eine Revision auslösen können, gelten grundsätzlich diejenigen, die nachträglich entdeckt werden, nicht aber solche, die nachträglich eingetreten sind. Echte Noven sind somit grundsätzlich von der Revision ausgeschlossen. Gemäss der bundesgerichtlichen Praxis müssen sich also die Tatsachen, die dem Gesuchsteller nachträglich bekannt wurden, im Zeitpunkt der Verfügung resp. des Entscheids verwirklicht haben bzw. bereits bestanden haben. Der Wortlaut von Art. 51 Abs. 1 lit. a StHG bzw. von § 132 Abs. 1 lit. a StG gebietet diese Beschränkung auf nachträglich entdeckte Tatsachen nicht. Dennoch entspricht diese Beschränkung dem Zweck der Revision, einen ursprünglichen Mangel der Veranlagungsverfügung resp. des Entscheids zu beseitigen. Die Revision dient nicht der Anpassung der ursprünglich korrekten Verfügung resp. des ursprünglich richtigen Entscheids an die während des Einsprache- resp. des Rechtsmittelverfahrens veränderten Umstände. Deshalb lösen nachträglich eingetretene Tatsachen grundsätzlich keine Revision aus. Gemäss Rechtsprechung des Bundesgerichts können jedoch ausnahmsweise neue erhebliche Tatsachen, die nach der Verfügung, deren Revision verlangt wird, eintreten, Grund für eine Revision sein. Sie können eine Revision rechtfertigen, "falls sie auf den Tag des Entscheides zurückwirken [Rückwirkung auf die tatbeständliche Grundlage der zu revidierenden Verfügung resp. des zu revidierenden Entscheids] und die damals vorgenommene Beurteilung des Sachverhalts als unrichtig erscheinen lassen". Eine solche Rückwirkung ist insbesondere dann anzunehmen, wenn die Tatsache sich zwar später verwirklicht hat, latent aber von Anfang an bestand. Die Steuerrekurskommission Freiburg anerkannte z.B. einen Revisionsanspruch des Veräusserers einer Liegenschaft, der unter Anerkennung seiner Gewährleistungspflicht nachträglich Steuern seines Rechtsvorgängers übernommen hatte, die der Fiskus nach der Weiterveräusserung der Liegenschaft gestützt auf das gesetzliche Grundpfandrecht gegenüber dem neuen Eigentümer geltend gemacht hatte. Dieser Auffassung ist aus rechtlichen und praktischen Gründen zu folgen. Sie entspricht dem Sinn der Revision. Mit dem Wortlaut von Art. 51 Abs. 1 lit. a StHG bzw. § 132 Abs. 1 lit. a StG lässt sich diese Auffassung durchaus vereinbaren. Das Gesetz lässt die Revision unter anderem zu, "wenn erhebliche Tatsachen […] entdeckt werden". Der Gesetzeswortlaut beschränkt die Tatsachen nicht auf solche, die zur Zeit des Erlasses der Verfügung resp. des Entscheids schon bestanden haben. Er ist diesbezüglich unterschiedlichen Auslegungen zugänglich. Auch kantonale Gesetze nehmen diesen Rechtsgedanken auf. Generell lässt sich festhalten, dass eine Rückwirkung insbesondere dann anzunehmen ist, wenn sich ein Ermässigungstatbestand, für den von Gesetzes wegen eine bestimmte Frist zur Verfügung steht (z.B. ersatzbeschaffende Erlösverwendung bei der Grundstückgewinnsteuer), erst nach der Rechtskraft der Veranlagung verwirklicht. Nachträglich eingetretene Tatsachen, die ausnahmsweise eine Revision rechtfertigen könnten, wären z.B. ein später entstehender Ablieferungsanspruch, der den veranlagten Einkommenszufluss im Nachhinein zunichtemacht, oder eine spätere abweichende Qualifikation als Geschäfts- oder Privatvermögen. Anders sieht es hingegen bei einer späteren abweichenden Interpretation des Betriebsvermögensbegriffes bei der Verrechnungssteuerbehörde im Vergleich zur direkten Bundessteuer aus, da in solchen Fällen keine neue entscheidrelevante Tatsache vorliegt ( Looser , Kommentar StGH, a.a.O., Rz 12 zu Art. 51 StGH m.w.H.). 5.1. Die Steuerverwaltung veranlagte die Steuerpflichtige mit Veranlagungsverfügung vom 20. November 2014 für die Staatssteuern 2013 gemäss den von der Steuerpflichtigen in der Steuererklärung gemachten Angaben. Die Beschwerdeführerin hatte in Ziff. 3730 keinen Rohgewinn deklariert. Die Eigenleistungen bezüglich GU X.____weg sollen gemäss Angaben der Beschwerdeführerin zwar in der Konto Nr. 3126 im Ertragsbetrag von Fr. 3'108'655.-- enthalten gewesen sein, jedoch wurden diese nicht beziffert. Vielmehr hat die Beschwerdeführerin die Architekturleistungen in der Erfolgsrechnung 2013 mit Fr. 0.00 und in der Erfolgsrechnung 2012 mit Fr. 4'704.50 angegeben. Entgegen dem im Kanton Basel-Landschaft geltenden System, wonach die Rohgewinne aus dem für Gewinnsteuerzwecke massgeblichen Betriebsgewinn herauszurechnen sind, hat sie diesen bewusst vorerst der für sie steuerlich günstigeren Gewinnbesteuerung unterstellt. Sie hat die Architekturleistungen nicht aktiviert. Die Beschwerdeführerin ist bei der von ihr selbst erstellten Jahresrechnung zu behaften. 5.2. Wie in der Erwägung 4.3 hiervor ausgeführt, ist die Revision ausgeschlossen, wenn aus Nachlässigkeit des Steuerpflichtigen (oder seines Vertreters) wesentliche Sachverhaltselemente im ordentlichen Veranlagungsverfahren nicht vorgebracht worden sind (Deklarationsirrtum). Die Frage, ob nicht eine Nachlässigkeit und damit ein fehlender Revisionsgrund bereits darin zu sehen ist, dass die Beschwerdeführerin in der Steuererklärung den Rohgewinn nicht aus dem für die Gewinnsteuer massgeblichen Betriebsgewinn herausgerechnet hat und die Höhe der Eigenleistungen nicht ausgewiesen (bzw. diese lediglich auf Fr. 0.-- und Fr. 4'704.50 beziffert hat) und nicht aktiviert hat, kann - wie aufzuzeigen sein wird - offengelassen werden. Die Beschwerdeführerin erklärt diesbezüglich, dass die Steuerbehörden die Vorgehensweise der Beschwerdeführerin bei anderen Projekten in vorgängigen Jahren akzeptiert hätten. Aus diesem Argument kann die Beschwerdeführerin jedoch nichts zu ihren Gunsten ableiten, da die in einer früheren Steuerperiode getroffenen Taxationen grundsätzlich keine Rechtskraft für spätere Veranlagungen entfallen.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(Urteil des Bundesgerichts vom 29. November 2002, publ. in: Der Steuerentscheid [StE] 2003 B 72.14.2 Nr. 31 E. 4.2). Dass der Beschwerdeführerin Zusicherungen für eine künftige Behandlung gegeben worden wären, welche allenfalls die Veranlagungsbehörden binden würden, wird nicht geltend gemacht. Es liegt deshalb weder ein widersprüchliches Verhalten der Behörde noch ein Verstoss gegen den Grundsatz des Vertrauensschutzes vor. 5.3. Die Beschwerdeführerin hat überdies nicht geltend gemacht, dass die Veranlagung zur Staatssteuer 2013 im Zeitpunkt der Veranlagung fehlerhaft war. Es fragt sich deshalb, ob die Voraussetzung der Revision, wonach ein ursprünglicher Mangel einer rechtskräftigen Veranlagung vorliegen muss, überhaupt gegeben ist. Auch diese Frage kann - wie aufzuzeigen sein wird - offengelassen werden. 5.4.1. Auch für den Fall, dass die Veranlagungsverfügung zur Staatssteuer 2013 bei dessen Erlass fehlerhaft gewesen sein sollte und der Beschwerdeführerin nicht vorgeworfen werden könnte, sie habe aus Nachlässigkeit wesentliche Sachverhaltselemente im ordentlichen Veranlagungsverfahren nicht vorgebracht, so ist Folgendes festzuhalten: Gemäss Beschwerdeführerin soll die Verfügung zur Staatssteuer 2013 durch die Veranlagung der Grundstückgewinnsteuer fehlerhaft geworden sein. Die Beschwerdeführerin erklärt de facto, dass sie - hätte sie um das Nichtakzeptieren der geltend gemachten Eigenleistungen bei der Grundstückgewinnsteuer gewusst - die Steuererklärung betreffend Gewinnsteuer anders ausgefüllt hätte. 5.4.2. Damit führt gemäss Beschwerdeführerin erst die Veranlagung der Grundstückgewinnsteuer zum geltend gemachten Mangel der Staatssteuer 2013. Sollte die Veranlagungsverfügung der Grundstückgewinnsteuer überhaupt eine Tatsache darstellen, so lösen nachträglich eingetretene Tatsachen jedoch - wie in Erwägung 4.6 hiervor ausgeführt - grundsätzlich keine Revision aus, womit auch diese Voraussetzung (nachträglicher Eintritt der Tatsache) der Revision nicht erfüllt ist. Auch für den Fall, dass die Veranlagung der Grundstückgewinnsteuer eine nachträglich eingetretene Tatsache darstellen sollte, die ausnahmsweise eine Revision rechtfertigen könnte (siehe E. 4.6 hiervor), so würde dies bedeuten, dass von der von der Beschwerdeführerin bewusst und nicht aufgrund eines Deklarationsirrtums so erstellten Jahresrechnung und Steuererklärung abzuweichen wäre. Die Beschwerdeführerin ist jedoch bei der von ihr erstellten Jahresrechnung zu behaften. 5.5. Des Weiteren ist der Grund für das Revisionsbegehren der Beschwerdeführerin, dass die Steuerbehörde die Höhe der geltend gemachten Eigenleistungen von über 30% der gesamten Baukosten bei der Grundstückgewinnsteuer nicht akzeptiert und somit anders gewürdigt hat, indem sie bzw. letztinstanzlich das Bundesgericht die von der Beschwerdeführerin angegebenen Eigenleistungen auf rund 15% der Baukosten gekürzt hat. Dabei handelt es sich um eine rechtliche Würdigung der von der Beschwerdeführerin eingereichten Angaben. Die rechtliche Würdigung von erheblichen Tatsachen ist hingegen selbst keine Tatsache (siehe E. 4.5 hiervor). Damit liegt auch aus diesem Grund kein Revisionsgrund vor. Vergleichbar ist der vorliegende Fall mit der in der vorgängigen Erwägung 4.5 (a.E.) genannten keine Revision auslösenden Konstellation, wonach die Verrechnungssteuerbehörde den Betriebsvermögensbegriff im Vergleich zur direkten Bundessteuer anders interpretiert. 5.6. Die Beschwerdeführerin macht geltend, es liege eine unzulässige Überbesteuerung vor und verweist dabei unter anderem auf den Kommentar zum Steuergesetz des Kantons Basel-Landschaft. Wie die Beschwerdeführerin richtig ausführt, wird darin festgehalten, dass, soweit die Grundstückgewinne mit der Spezialsteuer erfasst werden, sie von Einkommens- bzw. Ertragssteuer auszunehmen sind. Als unzulässige "systemwidrige" Doppelbelastung wird die gleichzeitige Erfassung des Grundstückgewinns mit der Einkommens- bzw. Gewinnsteuer und der Grundstückgewinnsteuer erwähnt (vgl. Thomas P. Wenk , in: Nefzger/Simonek/Wenk [Hrsg.], Kommentar zum Steuergesetz des Kantons Basel-Landschaft, Basel 2004, Rz. 6 zu § 71 StG, mit Hinweis auf Felix Richner/Walter Frei/Stefan Kaufmann , Kommentar zum harmonisierten Zürcher Steuergesetz, Zürich 1999, Vorbem. zu §§ 216 - 226, Rz. 21). Wie die Steuerverwaltung in ihrer Vernehmlassung (Ziff. 8) festhält, handelt es sich hier allenfalls um eine Doppelbelastung und nicht um eine Doppelbesteuerung (vgl. zur Doppelbesteuerung Art. 127 Abs. 3 BV; Urs Behnisch , in: Waldmann/Belser/Epiney [Hrsg.], Basler Kommentar zur Bundesverfassung, Basel 2015, Rz. 48 ff. zu Art. 127 BV; Peter Mäusli-Allenspach , in Zweifel/Beusch/Mäusli-Allenspach [Hrsg], Kommentar zum Schweizerischen Steuerrecht, Interkantonales Steuerrecht, § 3, Rz. 21). Eine Doppelbelastung kann jedoch nicht ungesehen der Art ihrer Entstehung zur Bejahung eines Revisionsgrundes führen. Vorliegend ist kein Revisionsgrund ersichtlich, so dass eine allfällige Doppelbelastung hinzunehmen ist.</w:t>
      </w:r>
    </w:p>
    <w:p>
      <w:r>
        <w:rPr>
          <w:b/>
        </w:rPr>
        <w:t>E. 6</w:t>
      </w:r>
    </w:p>
    <w:p>
      <w:r>
        <w:t>Abschliessend kann festgehalten werden, dass die Beschwerdeführerin die Architekturleistungen (Eigenleistungen) in ihrer Bilanz nicht aktiviert hat, wodurch sie die Gewinnsteuer tief halten konnte. Ob sie dies aus Unkenntnis oder aus steuerlichen Überlegungen unterlassen hat, ist irrelevant, da sie unabhängig vom Grund bei der von ihr erstellten Jahresrechnung zu behaften ist. Hätte die Beschwerdeführerin die Architekturleistungen bei der Grundstückgewinnsteuer abziehen wollen, hätte sie diese aktivieren müssen. Die von der Beschwerdeführerin gewählte Vorgehensweise, welche sich nachträglich in Bezug auf die fragliche Steuerperiode als ungünstig erwiesen hat, stellt kein Revisionsgrund und keine unzulässige Doppelbelastung dar. Die Beschwerde ist folglich abzuweisen.</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unterlegenen Beschwerdeführerin aufzuerlegen und mit dem geleisteten Kostenvorschuss in gleicher Höhe zu verrechnen. Die Parteikosten sind gemäss § 21 VPO wettzuschlagen. Demgemäss wird erkannt: ://: 1. Die Beschwerde wird abgewiesen. 2. Die Verfahrenskosten in der Höhe von Fr. 1'400.-- werden der Beschwerdeführerin auferlegt und mit dem geleisteten Kostenvorschuss in gleicher Höhe verrechnet. 3. Die Parteikosten werden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