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19 103 vom 10. Juni 2020</w:t>
      </w:r>
    </w:p>
    <w:p>
      <w:r>
        <w:t>BL Gerichte, 2020-06-10, DE</w:t>
      </w:r>
    </w:p>
    <w:p>
      <w:r>
        <w:rPr>
          <w:b/>
        </w:rPr>
        <w:t xml:space="preserve">Quelle: </w:t>
      </w:r>
      <w:r>
        <w:t>https://mcp.opencaselaw.ch/entscheid/bl_gerichte_810_19_103</w:t>
      </w:r>
    </w:p>
    <w:p>
      <w:r>
        <w:t>FR: BL_GERICHTE 810 19 103 du 10 juin 2020</w:t>
      </w:r>
    </w:p>
    <w:p>
      <w:r>
        <w:t>IT: BL_GERICHTE 810 19 103 del 10 giugno 2020</w:t>
      </w:r>
    </w:p>
    <w:p>
      <w:pPr>
        <w:pStyle w:val="Heading2"/>
      </w:pPr>
      <w:r>
        <w:t>Regeste</w:t>
      </w:r>
    </w:p>
    <w:p>
      <w:r>
        <w:t>Aufnahme in den Kataster der belasteten Standorte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Dem Beschwerdeführer wird eine reduzierte Parteientschädigung in der Höhe von Fr. 1'000.-- (inkl. Auslagen und 7.7% MWST) zulasten des Regierungsrats des Kantons Basel-Landschaft zugesprochen. Die übrigen Parteikosten werden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