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4 vom 5. September 2018</w:t>
      </w:r>
    </w:p>
    <w:p>
      <w:r>
        <w:t>BL Gerichte, 2018-09-05, DE</w:t>
      </w:r>
    </w:p>
    <w:p>
      <w:r>
        <w:rPr>
          <w:b/>
        </w:rPr>
        <w:t xml:space="preserve">Quelle: </w:t>
      </w:r>
      <w:r>
        <w:t>https://mcp.opencaselaw.ch/entscheid/bl_gerichte_810_18_4</w:t>
      </w:r>
    </w:p>
    <w:p>
      <w:r>
        <w:t>FR: BL_GERICHTE 810 18 4 du 5 septembre 2018</w:t>
      </w:r>
    </w:p>
    <w:p>
      <w:r>
        <w:t>IT: BL_GERICHTE 810 18 4 del 5 settembre 2018</w:t>
      </w:r>
    </w:p>
    <w:p>
      <w:pPr>
        <w:pStyle w:val="Heading2"/>
      </w:pPr>
      <w:r>
        <w:t>Regeste</w:t>
      </w:r>
    </w:p>
    <w:p>
      <w:r>
        <w:t>Ausnahmebewilligung für Bauten ausserhalb der Bauzone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Beschwerdegegnerin wird ein Verfahrenskostenanteil in der Höhe von Fr. 1'100.-- auferlegt. Der geleistete Kostenvorschuss in der Höhe von Fr. 2'200.-- wird den Beschwerdeführern zurückerstattet.</w:t>
      </w:r>
    </w:p>
    <w:p>
      <w:r>
        <w:rPr>
          <w:b/>
        </w:rPr>
        <w:t>E. 3</w:t>
      </w:r>
    </w:p>
    <w:p>
      <w:r>
        <w:t>Den Beschwerdeführern wird eine Parteientschädigung in der Höhe von Fr. 4‘981.10 (inkl. 7.7% MWST) zugesprochen, welche jeweils zur Hälfte, d.h. im Umfang von je Fr. 2‘490.55, den Beschwerdegegnern auferlegt wird.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