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18 125 vom 5. April 2018</w:t>
      </w:r>
    </w:p>
    <w:p>
      <w:r>
        <w:t>BL Gerichte, 2018-04-05, DE</w:t>
      </w:r>
    </w:p>
    <w:p>
      <w:r>
        <w:rPr>
          <w:b/>
        </w:rPr>
        <w:t xml:space="preserve">Quelle: </w:t>
      </w:r>
      <w:r>
        <w:t>https://mcp.opencaselaw.ch/entscheid/bl_gerichte_810_18_125</w:t>
      </w:r>
    </w:p>
    <w:p>
      <w:r>
        <w:t>FR: BL_GERICHTE 810 18 125 du 5 avril 2018</w:t>
      </w:r>
    </w:p>
    <w:p>
      <w:r>
        <w:t>IT: BL_GERICHTE 810 18 125 del 5 aprile 2018</w:t>
      </w:r>
    </w:p>
    <w:p>
      <w:pPr>
        <w:pStyle w:val="Heading2"/>
      </w:pPr>
      <w:r>
        <w:t>Regeste</w:t>
      </w:r>
    </w:p>
    <w:p>
      <w:r>
        <w:t>Regelung Besuchsrecht/Abweisung Antrag auf Wechsel Mandatsträger/Abweisung Antrag auf unentgeltliche Rechtsverbeiständung (Entscheid der Kindes- und Erwachsenenschutzbehörde B. vom 5. April 2018)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Beschwerdeführerin wird die unentgeltliche Rechtspflege bewilligt.</w:t>
      </w:r>
    </w:p>
    <w:p>
      <w:r>
        <w:rPr>
          <w:b/>
        </w:rPr>
        <w:t>E. 3</w:t>
      </w:r>
    </w:p>
    <w:p>
      <w:r>
        <w:t>Die Verfahrenskosten in der Höhe von Fr. 1‘400.-- werden der Beschwerdeführerin auferlegt. Zufolge Bewilligung der unentgeltlichen Prozessführung gehen die Verfahrenskosten zu Lasten der Gerichtskasse.</w:t>
      </w:r>
    </w:p>
    <w:p>
      <w:r>
        <w:rPr>
          <w:b/>
        </w:rPr>
        <w:t>E. 4</w:t>
      </w:r>
    </w:p>
    <w:p>
      <w:r>
        <w:t>Die Parteikosten werden wettgeschlagen. Zufolge Bewilligung der unentgeltlichen Verbeiständung wird der Rechtsvertreterin der Beschwerdeführerin ein Honorar in der Höhe von Fr. 1‘437.80 (inkl. Auslagen und 7,7% MWSt)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