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96 vom 6. Dezember 2017</w:t>
      </w:r>
    </w:p>
    <w:p>
      <w:r>
        <w:t>BL Gerichte, 2017-12-06, DE</w:t>
      </w:r>
    </w:p>
    <w:p>
      <w:r>
        <w:rPr>
          <w:b/>
        </w:rPr>
        <w:t xml:space="preserve">Quelle: </w:t>
      </w:r>
      <w:r>
        <w:t>https://mcp.opencaselaw.ch/entscheid/bl_gerichte_810_17_96</w:t>
      </w:r>
    </w:p>
    <w:p>
      <w:r>
        <w:t>FR: BL_GERICHTE 810 17 96 du 6 décembre 2017</w:t>
      </w:r>
    </w:p>
    <w:p>
      <w:r>
        <w:t>IT: BL_GERICHTE 810 17 96 del 6 dicembre 2017</w:t>
      </w:r>
    </w:p>
    <w:p>
      <w:pPr>
        <w:pStyle w:val="Heading2"/>
      </w:pPr>
      <w:r>
        <w:t>Regeste</w:t>
      </w:r>
    </w:p>
    <w:p>
      <w:r>
        <w:t>Widerruf der Niederlassungsbewilligung und Wegweisung</w:t>
      </w:r>
    </w:p>
    <w:p>
      <w:pPr>
        <w:pStyle w:val="Heading2"/>
      </w:pPr>
      <w:r>
        <w:t>Erwägungen</w:t>
      </w:r>
    </w:p>
    <w:p>
      <w:r>
        <w:rPr>
          <w:b/>
        </w:rPr>
        <w:t>E. 1</w:t>
      </w:r>
    </w:p>
    <w:p>
      <w:r>
        <w:t>Gemäss § 47 Abs. 1 lit. a des Gesetzes über die Verfassungs- und Verwaltungsprozessordnung (VPO) vom 16. Dezember 1993 ist zur Beschwerde befugt, wer durch die angefochtene Verfügung oder den angefochtenen Entscheid berührt ist und ein schutzwürdiges Interesse an dessen Änderung oder Aufhebung hat. Der Beschwerdeführer ist Adressat des angefochtenen Entscheids und hat ein schutzwürdiges Interesse an dessen Aufhebung. Da auch die übrigen formellen Voraussetzungen gemäss den §§ 43 ff. VPO erfüllt sind, ist auf die vorliegende Beschwerde einzutreten.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verwehrt (§ 45 Abs. 1 lit. c VPO e contrario).</w:t>
      </w:r>
    </w:p>
    <w:p>
      <w:r>
        <w:rPr>
          <w:b/>
        </w:rPr>
        <w:t>E. 3</w:t>
      </w:r>
    </w:p>
    <w:p>
      <w:r>
        <w:t>Die Angelegenheit wird zur Neuverlegung der Kosten des vorinstanzlichen Verfahrens an den Regierungsrat des Kantons Basel-Landschaft zurückgewiesen.</w:t>
      </w:r>
    </w:p>
    <w:p>
      <w:r>
        <w:rPr>
          <w:b/>
        </w:rPr>
        <w:t>E. 4</w:t>
      </w:r>
    </w:p>
    <w:p>
      <w:r>
        <w:t>Es werden keine Verfahrenskosten erhoben. Der geleistete Kostenvorschuss in der Höhe von Fr. 1'800.-- wird dem Beschwerdeführer zurückerstattet.</w:t>
      </w:r>
    </w:p>
    <w:p>
      <w:r>
        <w:rPr>
          <w:b/>
        </w:rPr>
        <w:t>E. 5</w:t>
      </w:r>
    </w:p>
    <w:p>
      <w:r>
        <w:t>Der Regierungsrat des Kantons Basel-Landschaft hat dem Beschwerdeführer eine Parteientschädigung in der Höhe von Fr. 3'985.40 (inkl. Auslagen und 8% MWST) zu bezahlen.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