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82 vom 1. November 2017</w:t>
      </w:r>
    </w:p>
    <w:p>
      <w:r>
        <w:t>BL Gerichte, 2017-11-01, DE</w:t>
      </w:r>
    </w:p>
    <w:p>
      <w:r>
        <w:rPr>
          <w:b/>
        </w:rPr>
        <w:t xml:space="preserve">Quelle: </w:t>
      </w:r>
      <w:r>
        <w:t>https://mcp.opencaselaw.ch/entscheid/bl_gerichte_810_17_82</w:t>
      </w:r>
    </w:p>
    <w:p>
      <w:r>
        <w:t>FR: BL_GERICHTE 810 17 82 du 1 novembre 2017</w:t>
      </w:r>
    </w:p>
    <w:p>
      <w:r>
        <w:t>IT: BL_GERICHTE 810 17 82 del 1 novembre 2017</w:t>
      </w:r>
    </w:p>
    <w:p>
      <w:pPr>
        <w:pStyle w:val="Heading2"/>
      </w:pPr>
      <w:r>
        <w:t>Regeste</w:t>
      </w:r>
    </w:p>
    <w:p>
      <w:r>
        <w:t>Fristlose Kündigung (RRB Nr. 0344 vom 14. März 2017)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Einspracheverfahren wird als gegenstandslos abgeschrieben.</w:t>
      </w:r>
    </w:p>
    <w:p>
      <w:r>
        <w:rPr>
          <w:b/>
        </w:rPr>
        <w:t>E. 3</w:t>
      </w:r>
    </w:p>
    <w:p>
      <w:r>
        <w:t>Die Verfahrenskosten in der Höhe von Fr. 1'400.-- werden der Beschwerdeführerin auferlegt und mit dem geleisteten Kostenvorschuss in der Höhe von Fr. 1'400.-- verrechnet.</w:t>
      </w:r>
    </w:p>
    <w:p>
      <w:r>
        <w:rPr>
          <w:b/>
        </w:rPr>
        <w:t>E. 4</w:t>
      </w:r>
    </w:p>
    <w:p>
      <w:r>
        <w:t>Die Beschwerdeführerin hat dem privaten Beschwerdegegner für das Verfahren vor Kantonsgericht eine Parteientschädigung in der Höhe von Fr. 1'879.20 (inkl. Auslagen und 8% MWST) auszurichten. Im Übrigen werden die Parteikosten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