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17 331 vom 12. August 2008</w:t>
      </w:r>
    </w:p>
    <w:p>
      <w:r>
        <w:t>BL Gerichte, 2008-08-12, DE</w:t>
      </w:r>
    </w:p>
    <w:p>
      <w:r>
        <w:rPr>
          <w:b/>
        </w:rPr>
        <w:t xml:space="preserve">Quelle: </w:t>
      </w:r>
      <w:r>
        <w:t>https://mcp.opencaselaw.ch/entscheid/bl_gerichte_810_17_331</w:t>
      </w:r>
    </w:p>
    <w:p>
      <w:r>
        <w:t>FR: BL_GERICHTE 810 17 331 du 12 août 2008</w:t>
      </w:r>
    </w:p>
    <w:p>
      <w:r>
        <w:t>IT: BL_GERICHTE 810 17 331 del 12 agosto 2008</w:t>
      </w:r>
    </w:p>
    <w:p>
      <w:pPr>
        <w:pStyle w:val="Heading2"/>
      </w:pPr>
      <w:r>
        <w:t>Regeste</w:t>
      </w:r>
    </w:p>
    <w:p>
      <w:r>
        <w:t>Prüfung Schlussbericht für die Zeit vom 01.01.2012 bis 31.12.2015 (Entscheid der Kindes- und Erwachsenenschutzbehörde X. vom 7. November 2017); Abweisung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 Gesuch um unentgeltliche Rechtspflege wird abgewiesen.</w:t>
      </w:r>
    </w:p>
    <w:p>
      <w:r>
        <w:rPr>
          <w:b/>
        </w:rPr>
        <w:t>E. 3</w:t>
      </w:r>
    </w:p>
    <w:p>
      <w:r>
        <w:t>Die Verfahrenskosten in der Höhe von Fr. 1'400.-- werden der Beschwerdeführerin auferlegt.</w:t>
      </w:r>
    </w:p>
    <w:p>
      <w:r>
        <w:rPr>
          <w:b/>
        </w:rPr>
        <w:t>E. 4</w:t>
      </w:r>
    </w:p>
    <w:p>
      <w:r>
        <w:t>Die Parteikosten werden wettgeschlagen. Vizepräsident Gerichtsschreiberin i.V.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