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30 vom 15. November 2017</w:t>
      </w:r>
    </w:p>
    <w:p>
      <w:r>
        <w:t>BL Gerichte, 2017-11-15, DE</w:t>
      </w:r>
    </w:p>
    <w:p>
      <w:r>
        <w:rPr>
          <w:b/>
        </w:rPr>
        <w:t xml:space="preserve">Quelle: </w:t>
      </w:r>
      <w:r>
        <w:t>https://mcp.opencaselaw.ch/entscheid/bl_gerichte_810_17_30</w:t>
      </w:r>
    </w:p>
    <w:p>
      <w:r>
        <w:t>FR: BL_GERICHTE 810 17 30 du 15 novembre 2017</w:t>
      </w:r>
    </w:p>
    <w:p>
      <w:r>
        <w:t>IT: BL_GERICHTE 810 17 30 del 15 novembre 2017</w:t>
      </w:r>
    </w:p>
    <w:p>
      <w:pPr>
        <w:pStyle w:val="Heading2"/>
      </w:pPr>
      <w:r>
        <w:t>Regeste</w:t>
      </w:r>
    </w:p>
    <w:p>
      <w:r>
        <w:t>Verweigerung der Aufenthaltsbewilligung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Nach § 47 Abs. 1 lit. a VPO ist zur Beschwerde befugt, wer durch die angefochtene Verfügung oder den angefochtenen Entscheid berührt ist und ein schutzwürdiges Interesse an dessen Änderung oder Aufhebung hat. Die Beschwerdeführenden sind vom angefochtenen Entscheid berührt und haben ein schutzwürdiges Interesse an dessen Aufhebung. Auch die übrigen formellen Voraussetzungen sind erfüllt, so dass auf die Beschwerde einzutreten ist.</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Ferner kann beurteilt werden, ob dieser den Sachverhalt unrichtig oder unvollständig festgestellt hat. Die Überprüfung der Angemessenheit dagegen ist dem Kantonsgericht – abgesehen von hier nicht vorliegenden Ausnahmefällen – verwehrt (§ 45 Abs. 1 lit. c VPO e contrario).</w:t>
      </w:r>
    </w:p>
    <w:p>
      <w:r>
        <w:rPr>
          <w:b/>
        </w:rPr>
        <w:t>E. 3</w:t>
      </w:r>
    </w:p>
    <w:p>
      <w:r>
        <w:t>Streitgegenstand des vorliegenden Verfahrens bildet die Frage, ob die Vorinstanzen die im Rahmen des Familiennachzugs beantragte Aufenthaltsbewilligung des Beschwerdeführers zu Recht verweigert haben. Vorab ist festzustellen, dass die streitgegenständliche Angelegenheit keine Sachverhalts- oder Rechtsfragen aufwirft, die nicht aufgrund der Akten und der schriftlichen Vorbringen der Parteien beurteilt werden können. Es ist deshalb nicht ersichtlich, inwiefern durch die von den Beschwerdeführenden beantragte Parteiverhandlung neue Erkenntnisse hätten erlangt werden können bzw. inwiefern eine Parteiverhandlung zur Klärung der strittigen Fragen hätte beitragen können. Demzufolge kann vorliegend auf die Durchführung einer Parteiverhandlung verzichtet werden (vgl. Urteil des Kantonsgerichts, Abteilung Verfassungs- und Verwaltungsrecht [KGE VV] vom 5. April 2017 [ 810 16 249] E. 3 ).</w:t>
      </w:r>
    </w:p>
    <w:p>
      <w:r>
        <w:rPr>
          <w:b/>
        </w:rPr>
        <w:t>E. 4</w:t>
      </w:r>
    </w:p>
    <w:p>
      <w:r>
        <w:t>Der Regierungsrat des Kantons Basel-Landschaft hat den Beschwerdeführern eine Parteientschädigung in der Höhe von Fr. 2'304.-- (inkl. hälftige Auslagen) zu bezahlen. Die übrigen Parteikosten werden wettgeschlagen und zufolge Bewilligung der unentgeltlichen Verbeiständung wird dem Rechtsvertreter der Beschwerdeführer ein Honorar in der Höhe von Fr. 1'804.-- (inkl. hälftiger Auslagen) aus der Gerichtskasse ausgerichtet.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