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17 273 vom 22. August 2018</w:t>
      </w:r>
    </w:p>
    <w:p>
      <w:r>
        <w:t>BL Gerichte, 2018-08-22, DE</w:t>
      </w:r>
    </w:p>
    <w:p>
      <w:r>
        <w:rPr>
          <w:b/>
        </w:rPr>
        <w:t xml:space="preserve">Quelle: </w:t>
      </w:r>
      <w:r>
        <w:t>https://mcp.opencaselaw.ch/entscheid/bl_gerichte_810_17_273</w:t>
      </w:r>
    </w:p>
    <w:p>
      <w:r>
        <w:t>FR: BL_GERICHTE 810 17 273 du 22 août 2018</w:t>
      </w:r>
    </w:p>
    <w:p>
      <w:r>
        <w:t>IT: BL_GERICHTE 810 17 273 del 22 agosto 2018</w:t>
      </w:r>
    </w:p>
    <w:p>
      <w:pPr>
        <w:pStyle w:val="Heading2"/>
      </w:pPr>
      <w:r>
        <w:t>Regeste</w:t>
      </w:r>
    </w:p>
    <w:p>
      <w:r>
        <w:t>Normkosten für Pflegeleistungen in Alters- und Pflegeheimen im Kanton Basel-Landschaft ab dem 1. Januar 2018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Parteikosten werden wettgeschlagen.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