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17 256 vom 21. März 2018</w:t>
      </w:r>
    </w:p>
    <w:p>
      <w:r>
        <w:t>BL Gerichte, 2018-03-21, DE</w:t>
      </w:r>
    </w:p>
    <w:p>
      <w:r>
        <w:rPr>
          <w:b/>
        </w:rPr>
        <w:t xml:space="preserve">Quelle: </w:t>
      </w:r>
      <w:r>
        <w:t>https://mcp.opencaselaw.ch/entscheid/bl_gerichte_810_17_256</w:t>
      </w:r>
    </w:p>
    <w:p>
      <w:r>
        <w:t>FR: BL_GERICHTE 810 17 256 du 21 mars 2018</w:t>
      </w:r>
    </w:p>
    <w:p>
      <w:r>
        <w:t>IT: BL_GERICHTE 810 17 256 del 21 marzo 2018</w:t>
      </w:r>
    </w:p>
    <w:p>
      <w:pPr>
        <w:pStyle w:val="Heading2"/>
      </w:pPr>
      <w:r>
        <w:t>Regeste</w:t>
      </w:r>
    </w:p>
    <w:p>
      <w:r>
        <w:t>Widerruf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Nach § 47 Abs. 1 lit. a VPO ist zur Beschwerde befugt, wer durch die angefochtene Verfügung oder den angefochtenen Entscheid berührt ist und ein schutzwürdiges Interesse an dessen Änderung oder Aufhebung hat. Als Adressat des angefochtenen Entscheids weist der Beschwerdeführer ein schutzwürdiges Interesse an dessen Aufhebung auf. Da auch die übrigen formellen Voraussetzungen nach den §§ 43 ff. VPO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Die Überprüfung der Angemessenheit dagegen ist dem Kantonsgericht verwehrt (§ 45 Abs. 1 lit. c VPO e contrario). 3.1 Streitgegenstand des vorliegenden Verfahrens bildet die Frage, ob der Widerruf der Aufenthaltsbewilligung des Beschwerdeführers und die damit einhergehende Wegweisung aus der Schweiz zu Recht erfolgten. 3.2 Eine ausländische Person ist zur Anwesenheit in der Schweiz berechtigt, wenn sie eine Aufenthalts- oder Niederlassungsbewilligung besitzt oder wenn sie keiner solchen bedarf (Art. 10 und 11 des Bundesgesetzes über die Ausländerinnen und Ausländer [Ausländergesetz,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Marc Spescha , in: Spescha/Thür/Zünd/Bolzli/Hruschka [Hrsg.], Kommentar Migrationsrecht, 4. Auflage, Zürich 2015, N 1 ff. zu Art. 3 AuG; Peter Uebersax , in: Uebersax/Rudin/Hugi Yar/Geiser [Hrsg.], Ausländerrecht, 2. Auflage, Basel 2009, N 7.84 ff.). 3.3 Vorab kann festgehalten werden, dass zwischen der Schweizerischen Eidgenossenschaft und der Republik Kosovo keine staatsvertragliche Vereinbarung besteht, welche dem Beschwerdeführer einen Anspruch auf Anwesenheit in der Schweiz gewähren würde. Demnach sind, vorbehältlich anderer völkerrechtlicher Verträge, die Bestimmungen des AuG anwendbar.</w:t>
      </w:r>
    </w:p>
    <w:p>
      <w:r>
        <w:rPr>
          <w:b/>
        </w:rPr>
        <w:t>E. 4</w:t>
      </w:r>
    </w:p>
    <w:p>
      <w:r>
        <w:t>Die Verfahrenskosten in der Höhe von Fr. 1'400.-- werden dem Beschwerdeführer auferlegt. Zufolge Bewilligung der unentgeltlichen Prozessführung gehen die Verfahrenskosten zulasten der Gerichtskasse. Die Parteikosten werden wettgeschlagen. Zufolge Bewilligung der unentgeltlichen Verbeiständung wird dem Rechtsvertreter des Beschwerdeführers ein Honorar in der Höhe von Fr. 2'121.85 (inkl. Auslagen und MWST von 8% bzw. 7.7%) aus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