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BL_GERICHTE 810 17 154 vom 31. Oktober 2017</w:t>
      </w:r>
    </w:p>
    <w:p>
      <w:r>
        <w:t>BL Gerichte, 2017-10-31, DE</w:t>
      </w:r>
    </w:p>
    <w:p>
      <w:r>
        <w:rPr>
          <w:b/>
        </w:rPr>
        <w:t xml:space="preserve">Quelle: </w:t>
      </w:r>
      <w:r>
        <w:t>https://mcp.opencaselaw.ch/entscheid/bl_gerichte_810_17_154</w:t>
      </w:r>
    </w:p>
    <w:p>
      <w:r>
        <w:t>FR: BL_GERICHTE 810 17 154 du 31 octobre 2017</w:t>
      </w:r>
    </w:p>
    <w:p>
      <w:r>
        <w:t>IT: BL_GERICHTE 810 17 154 del 31 ottobre 2017</w:t>
      </w:r>
    </w:p>
    <w:p>
      <w:pPr>
        <w:pStyle w:val="Heading2"/>
      </w:pPr>
      <w:r>
        <w:t>Regeste</w:t>
      </w:r>
    </w:p>
    <w:p>
      <w:r>
        <w:t>Unentgeltliche Verbeiständung (Entscheid der Kindes- und Erwachsenenschutzbehörde B.____ vom 17. Mai 2017)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In teilweiser Gutheissung der Beschwerde wird Ziffer 2 des Entscheids der Kindes- und Erwachsenenschutzbehörde B.____ vom 17. Mai 2017 aufgehoben und dem Beschwerdeführer wird für das vorinstanzliche Verfahren per 12. Juli 2016 die unentgeltliche Verbeiständung bewilligt.</w:t>
      </w:r>
    </w:p>
    <w:p>
      <w:r>
        <w:rPr>
          <w:b/>
        </w:rPr>
        <w:t>E. 2</w:t>
      </w:r>
    </w:p>
    <w:p>
      <w:r>
        <w:t>Es werden keine Verfahrenskosten erhoben.</w:t>
      </w:r>
    </w:p>
    <w:p>
      <w:r>
        <w:rPr>
          <w:b/>
        </w:rPr>
        <w:t>E. 3</w:t>
      </w:r>
    </w:p>
    <w:p>
      <w:r>
        <w:t>Die Kindes- und Erwachsenenschutzbehörde B.____ hat dem Beschwerdeführer für das Verfahren vor Kantonsgericht eine Parteientschädigung in der Höhe von Fr. 1'149.55 (inkl. Auslagen und 8% MWST) auszurichten. Präsidentin Franziska Preiswerk-Vögtli Gerichtsschreiber Marius Wehren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