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17 142 vom 31. Januar 2018</w:t>
      </w:r>
    </w:p>
    <w:p>
      <w:r>
        <w:t>BL Gerichte, 2018-01-31, DE</w:t>
      </w:r>
    </w:p>
    <w:p>
      <w:r>
        <w:rPr>
          <w:b/>
        </w:rPr>
        <w:t xml:space="preserve">Quelle: </w:t>
      </w:r>
      <w:r>
        <w:t>https://mcp.opencaselaw.ch/entscheid/bl_gerichte_810_17_142</w:t>
      </w:r>
    </w:p>
    <w:p>
      <w:r>
        <w:t>FR: BL_GERICHTE 810 17 142 du 31 janvier 2018</w:t>
      </w:r>
    </w:p>
    <w:p>
      <w:r>
        <w:t>IT: BL_GERICHTE 810 17 142 del 31 gennaio 2018</w:t>
      </w:r>
    </w:p>
    <w:p>
      <w:pPr>
        <w:pStyle w:val="Heading2"/>
      </w:pPr>
      <w:r>
        <w:t>Regeste</w:t>
      </w:r>
    </w:p>
    <w:p>
      <w:r>
        <w:t>Nichtverlängerung der Aufenthaltsbewilligung; Abweisung</w:t>
      </w:r>
    </w:p>
    <w:p>
      <w:pPr>
        <w:pStyle w:val="Heading2"/>
      </w:pPr>
      <w:r>
        <w:t>Erwägungen</w:t>
      </w:r>
    </w:p>
    <w:p>
      <w:r>
        <w:rPr>
          <w:b/>
        </w:rPr>
        <w:t>E. 6</w:t>
      </w:r>
    </w:p>
    <w:p>
      <w:r>
        <w:t>Entgegen der Auffassung des Beschwerdeführers ist sodann keine rechtsfehlerhafte Ermessensausübung durch die Vorinstanzen ersichtlich, zumal die Schweiz gegenüber Ausländern ausserhalb des EU- und EFTA-Raums in Fragen der Aufenthaltsberechtigung eine restriktive Politik verfolgt.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4.1.2; BGE 135 I 153 E. 2.2.1).</w:t>
      </w:r>
    </w:p>
    <w:p>
      <w:r>
        <w:rPr>
          <w:b/>
        </w:rPr>
        <w:t>E. 7</w:t>
      </w:r>
    </w:p>
    <w:p>
      <w:r>
        <w:t>Die Nichtverlängerung der Aufenthaltsbewilligung des Beschwerdeführers und die Wegweisung erfolgten nach dem Gesagten zu Recht, was zur Abweisung der Beschwerde führt.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Der zu viel geleistete Kostenvorschuss in der Höhe von Fr. 700.-- wird dem Beschwerdeführer zurückerstattet.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 Demgemäss wird erkannt: ://: 1. Die Beschwerde wird abgewiesen. 2. Die Verfahrenskosten in der Höhe von Fr. 1'400.-- werden dem Beschwerdeführer auferlegt und mit dem geleisteten Kostenvorschuss in der Höhe von Fr. 2'100.-- verrechnet. Der zu viel geleistete Kostenvorschuss in der Höhe von Fr. 700.-- wird dem Beschwerdeführer zurückerstattet. 3. Die Parteikosten werden wettgeschlagen. Präsidentin Gerichtsschreiberin i.V. Gegen diesen Entscheid wurde am 28. Juni 2018 Beschwerde beim Bundesgericht (Verfahrensnummer 2C_558/2018)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