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17 125 vom 1. November 2017</w:t>
      </w:r>
    </w:p>
    <w:p>
      <w:r>
        <w:t>BL Gerichte, 2017-11-01, DE</w:t>
      </w:r>
    </w:p>
    <w:p>
      <w:r>
        <w:rPr>
          <w:b/>
        </w:rPr>
        <w:t xml:space="preserve">Quelle: </w:t>
      </w:r>
      <w:r>
        <w:t>https://mcp.opencaselaw.ch/entscheid/bl_gerichte_810_17_125</w:t>
      </w:r>
    </w:p>
    <w:p>
      <w:r>
        <w:t>FR: BL_GERICHTE 810 17 125 du 1 novembre 2017</w:t>
      </w:r>
    </w:p>
    <w:p>
      <w:r>
        <w:t>IT: BL_GERICHTE 810 17 125 del 1 novembre 2017</w:t>
      </w:r>
    </w:p>
    <w:p>
      <w:pPr>
        <w:pStyle w:val="Heading2"/>
      </w:pPr>
      <w:r>
        <w:t>Regeste</w:t>
      </w:r>
    </w:p>
    <w:p>
      <w:r>
        <w:t>Wahl in die Sozialhilfebehörde Aesch vom 25. September 2016</w:t>
      </w:r>
    </w:p>
    <w:p>
      <w:pPr>
        <w:pStyle w:val="Heading2"/>
      </w:pPr>
      <w:r>
        <w:t>Erwägungen</w:t>
      </w:r>
    </w:p>
    <w:p>
      <w:r>
        <w:rPr>
          <w:b/>
        </w:rPr>
        <w:t>E. 4</w:t>
      </w:r>
    </w:p>
    <w:p>
      <w:r>
        <w:t>Das Wahlbüro überwacht die Stimmabgabe, kennzeichnet die Stimm- und Wahlzettel und ermittelt die Ergebnisse von Abstimmungen und Wahlen.</w:t>
      </w:r>
    </w:p>
    <w:p>
      <w:r>
        <w:rPr>
          <w:b/>
        </w:rPr>
        <w:t>E. 5</w:t>
      </w:r>
    </w:p>
    <w:p>
      <w:r>
        <w:t>Den Mitgliedern des Wahlbüros ist es verboten, im Wahlbüro für andere Stimmberechtigte Stimm- und Wahlzettel auszufüllen.</w:t>
      </w:r>
    </w:p>
    <w:p>
      <w:r>
        <w:rPr>
          <w:b/>
        </w:rPr>
        <w:t>E. 6</w:t>
      </w:r>
    </w:p>
    <w:p>
      <w:r>
        <w:t>Mitglieder des Wahlbüros, die an einer Wahl als Kandidatinnen oder Kandidaten beteiligt sind, dürfen bei der Ermittlung des Ergebnisses dieser Wahl nicht mitwirken. 7.1 Im vorliegenden Fall ist die Auslegung von § 6 Abs. 6 GpR umstritten, wonach Mitglieder des Wahlbüros, die an einer Wahl als Kandidatinnen oder Kandidaten beteiligt sind, nicht bei der Ermittlung des Ergebnisses dieser Wahl mitwirken dürfen. 7.2 Die Gesetzesauslegung hat zum Ziel, den rechtsverbindlichen Sinn eines Rechtssatzes, über dessen Tragweite Unklarheiten bestehen, zu ermitteln. Auslegung ist notwendig, wo der Gesetzeswortlaut nicht klar ist oder wo Zweifel bestehen, ob ein scheinbar klarer Wortlaut den wahren Sinn der Norm wiedergibt ( Ulrich Häfelin/Georg Müller/Felix Uhlmann , Allgemeines Verwaltungsrecht, 7. Aufl., Zürich/St. Gallen 2016, Rz. 177 ff.). 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Regelung wiedergibt. Solche Gründe können sich aus der Entstehungsgeschichte der Bestimmung, aus ihrem Sinn und Zweck oder aus dem Zusammenhang mit andern Gesetzesbestimmungen ergeben. Dabei kommt es namentlich auf den Zweck der Regelung, die dem Text zugrundeliegenden Wertungen sowie auf den Sinnzusammenhang an, in dem die Norm steht. Die Gesetzesmaterialien sind zwar nicht unmittelbar entscheidend, dienen aber als Hilfsmittel, den Sinn der Norm zu erkennen. Sind verschiedene Auslegungen möglich, so muss nach der wahren Tragweite der Norm gesucht werden unter Berücksichtigung aller Auslegungselemente, namentlich von Sinn und Zweck sowie der dem Text zugrunde liegenden Wertung (zur Gesetzesauslegung statt vieler: BGE 140 II 289 E. 3.2 m.w.H.). 8.1 Gemäss § 6 Abs. 6 GpR dürfen Mitglieder, die an einer Wahl als Kandidatinnen oder Kandidaten beteiligt sind, nicht bei der ‟Ermittlung" des Ergebnisses der Wahl mitwirken. Dieser Wortlaut erweist sich als auslegungsbedürftig. Es ist nämlich nicht klar, welche Tätigkeiten unter dem Begriff der ‟Ermittlung" zu verstehen sind. Die Tragweite des Begriffs ist mit der grammatikalischen Auslegung allein nicht zu ermitteln. Diese Frage lässt sich aber unter Zuhilfenahme weiterer Auslegungsmethoden klären. Ein Blick in die Materialien, insbesondere in die Vorlagen des Regierungsrats an den Landrat, ist indes wenig ergiebig: Der in der Vorlage des Regierungsrats an den Landrat vom 5. Februar 1980 zum Gesetz über die politischen Rechte (Nr. 80/26) enthaltene Entwurf (E-GpR, Beilage 2) sah in § 5a Abs. 3 vor, dass das Wahlbüro die Stimmabgabe überwacht und die Ergebnisse von Abstimmungen und Wahlen ermittelt (S. 2; vgl. auch Bericht der landrätlichen Spezialkommission zur Neuordnung des Abstimmungs- und Wahlrechts an den Landrat betreffend das Gesetz über die politischen Rechte vom 12. Dezember 1980 [Nr. 80/26a], Beilage 2, S. 2). Mit der Vorlage des Regierungsrats betreffend die Änderung des Gesetzes über die politischen Rechte vom 4. Februar 1986 (Nr. 86/28) wurden in § 6 alle Bestimmungen betreffend das Wahlbüro zusammengefasst. Dies um Unklarheiten über das Funktionieren des Wahlbüros zu beseitigen. Die Bestimmung, dass Wahlbüromitglieder bei der Ergebnisermittlung einer Wahl, bei welcher sie als Kandidatinnen oder Kandidaten beteiligt sind, nicht mitwirken dürfen, wurde aus der Regierungsratsverordnung vom 4. Mai 1982 (§ 5 Abs. 2) übernommen (Erläuterungen zu § 6, S. 6 der Vorlage). Die Vorlage des Regierungsrats an den Landrat vom 25. September 1990 (Nr. 90/222) betreffend den Entwurf zu einer Teilrevision des Gesetzes über die politischen Rechte stellte fest, dass die Regelung von § 6 Abs. 6 GpR grundlegend sei und deshalb ins Gesetz gehöre (S. 8 der Vorlage). Entgegen der Ansicht der Beschwerdeführerin (vgl. Beschwerdebegründung vom 20. Juli 2017, S. 6) lassen sich den Gesetzesmaterialien somit keine Hinweise auf den Willen des Gesetzgebers entnehmen, weshalb sie auch keinen eindeutigen Schluss betreffend die hier interessierende Fragestellung zulassen. 8.2 Eine systematische Betrachtung des Absatzes 6 innerhalb des § 6 GpR ergibt – entgegen den Ausführungen der Beschwerdeführerin – ebenfalls keine klaren Hinweise auf die Bedeutung der Bestimmung: Während Absatz 4 unbestrittenermassen die Aufgaben des Wahlbüros aufzählt (‟Das Wahlbüro überwacht die Stimmabgabe, kennzeichnet die Stimm- und Wahlzettel und ermittelt die Ergebnisse von Abstimmungen und Wahlen"), sieht Absatz 6 den Ausschluss der Mitglieder des Wahlbüros vor, die an einer Wahl als Kandidatinnen oder Kandidaten beteiligt sind, bei der Ermittlung des Ergebnisses der Wahl. Aus einem Stillschweigen des Gesetzgebers kann nicht automatisch abgeleitet werden, dass die Mitglieder des Wahlbüros, die an einer Wahl als Kandidatinnen oder Kandidaten beteiligt sind, an der Überwachung der Stimmabgabe und der Kennzeichnung der Stimm- und Wahlzettel teilnehmen dürfen. Entgegen der Auffassung der Beschwerdeführerin kann sie daraus nichts zu ihren Gunsten ableiten. 8.3 Bei der Ermittlung des Sinns und Zwecks der Norm im Gefüge der staatlichen Gewalten (sog. teleologische Auslegung) steht vorliegend die Garantie der Stimm- und Wahlfreiheit im Vordergrund, welche ein verfassungsmässiges Recht darstellt (Art. 34 BV und § 21 ff. KV) und insbesondere verlangt, dass kein Abstimmungs- oder Wahlergebnis anerkannt wird, das nicht den freien Willen der Stimmbürgerinnen und -bürger zuverlässig und unverfälscht zum Ausdruck bringt (vgl. E. 6.2 hiervor). Dies beinhaltet insbesondere auch das Recht, dass Wahl- und Abstimmungsergebnisse sorgfältig und ordnungsgemäss ermittelt werden (vgl. BGE 98 Ia 73 E. 4; BGE 104 Ia 428 E. 3a; BGE 121 I 138 E. 3; BGE 131 I 442 E. 3.1). Der Argumentation der Beschwerdeführerin, wonach Sinn und Zweck der Bestimmung darin bestehe, dass Mitglieder des Wahlbüros, die an einer Wahl als Kandidatinnen oder Kandidaten beteiligt sind, nur bei der Auszählung der Stimmen auszuschliessen seien, kann aus folgenden Gründen nicht gefolgt werden: Der Einwand der Beschwerdeführerin, bei den von A.____ übernommenen Tätigkeiten (Überwachung der Stimmabgabe, Sortieren und Kontrollieren der Stimm- und Wahlzettel) handle es sich um rein administrative Aufgaben, geht an der Sache vorbei. Während die Zählung der Stimmzettel und Stimmen feststellender Art ist, erfordern das Sortieren und Kontrollieren eine Entscheidung über die Gültigkeit der Stimm- und Wahlzettel, d.h. ein wertendes Urteil über die Frage, ob die Wahl- und Stimmzettel korrekt und genügend ‟bestimmt" sind, um nach Treu und Glauben den tatsächlichen Willen des Stimmberechtigten wiederzugeben (vgl. Entscheid des Departement des Innern des Kantons Aargau vom 7. September 1979, in: Aargauische Gerichts- und Verwaltungsentscheide [AGVE] 1979, S. 433-435 E. 1). Die abgegebenen Stimmen sind in die Kategorien ungültige, leere und gültige Stimmen einzuteilen (vgl. Yvo Hangartner‌/‌Andreas Kley , Die demokratischen Rechte in Bund und Kantonen der Schweizerischen Eidgenossenschaft, Zürich 2000, Rz. 2554 ff.). Das Sortieren und Qualifizieren der Stimmzettel bildet die Grundlage für die Auszählung der Stimmen und ist somit ein wichtiger Schritt im Ermittlungsprozess des Stimm- und Wahlergebnisses. Hypothetisch hätte A.____ durch diese Tätigkeiten die Gelegenheit gehabt, das Wahlergebnis zu ihren Gunsten zu beeinflussen. So beispielsweise, indem sie korrekte Wahlzettel als ungültig erklärt oder unentschlossene Wählerinnen und Wähler noch im Wahllokal zu beeinflussen versucht hätte. Es ist vorliegend zwar nicht ersichtlich, dass die Kandidatin von dieser Möglichkeit Gebrauch gemacht hätte. Damit Wahlen ordnungsgemäss durchgeführt werden können, ist es jedoch unabdingbar, dass in Bezug auf die Willensbildung und -betätigung der Wählerinnen und Wähler keine Zweifel an der korrekten Durchführung jeglicher Handlungen, die der Ermittlung des Wahl- und Abstimmungsergebnisses dienen, entstehen und einzelne Kandidatinnen oder Kandidaten, Parteien und Gruppierungen nicht unrechtmässig Einfluss nehmen können, bevorzugt oder benachteiligt werden (vgl. Urteil des Bundesgerichts 1P.94/2003 vom 17. April 2003 E. 2.1). Es gilt auch nur die hypothetische Möglichkeit auszuschliessen, dass ein Wahl- oder Abstimmungsergebnis in irgendeiner Art und Weise nicht ordnungsgemäss ermittelt werden könnte. Der Beschwerdegegner ist deshalb zu Recht davon ausgegangen, dass auf der Grundlage der allgemein anwendbaren Auslegungsmethoden und -kriterien § 6 Abs. 6 GpR dahingehend zu verstehen ist, dass Mitglieder des Wahlbüros, die an einer Wahl als Kandidatinnen oder Kandidaten beteiligt sind, beim gesamten Ermittlungsprozess des Wahlergebnisses – einschliesslich der Überwachung der Stimmabgabe und der Kennzeichnung und Sortierung der Stimm- und Wahlzettel – nicht mitwirken dürfen. Die Beschwerde erweist sich unter diesem Titel als unbegründet. 8.4 Vorliegend werden andere Unregelmässigkeiten bei der Wahlvorbereitung oder -durchführung, die das Ergebnis der Wahl der anderen Kandidatinnen und Kandidaten verfälscht haben könnten, von keiner Seite geltend gemacht und sind auch nicht ersichtlich. Vielmehr ist davon auszugehen, dass das Ergebnis des vom Beschwerdegegner angeordneten Wahlgangs zwischen den Kandidatinnen A.____ und B.____ den Willen der Stimmbürgerinnen und Stimmbürger zuverlässig und unverfälscht zum Ausdruck bringen wird. Die Beschwerdeführerin macht im Übrigen auch nicht geltend, die angeordneten Massnahmen seien nicht geeignet, um die festgestellten Mängel zu korrigieren. Die Anordnungen des Beschwerdegegners (Ungültigerklärung der Wahl von A.____ vom 25. September 2016 und Durchführung einer Wahl zur Besetzung des letzten Sitzes in die Sozialhilfebehörde zwischen A.____ und B.____) sind deshalb nicht zu beanstanden.</w:t>
      </w:r>
    </w:p>
    <w:p>
      <w:r>
        <w:rPr>
          <w:b/>
        </w:rPr>
        <w:t>E. 9</w:t>
      </w:r>
    </w:p>
    <w:p>
      <w:r>
        <w:t>In Zusammenfassung der vorstehenden Erwägungen ist somit festzuhalten, dass der Beschwerdegegner im vorliegenden Fall zu Recht auf eine Verletzung des § 6 Abs. 6 GpR geschlossen, die Wahl von A.____ vom 25. September 2016 in die Sozialhilfebehörde Aesch für ungültig erklärt und die Beschwerdeführerin verpflichtet hat, eine neue Wahl zur Besetzung des letzten Sitzes in der Sozialhilfebehörde zwischen A.____ und B.____ anzusetzen.</w:t>
      </w:r>
    </w:p>
    <w:p>
      <w:r>
        <w:rPr>
          <w:b/>
        </w:rPr>
        <w:t>E. 10</w:t>
      </w:r>
    </w:p>
    <w:p>
      <w:r>
        <w:t>Schliesslich sei im Zusammenhang mit der Rüge der Beschwerdeführerin, der angefochtene Entscheid verletze ihre Gemeindeautonomie, noch angeführt, dass eine Gemeinde in einem Sachbereich autonom ist, wenn das kantonale Recht diesen nicht abschliessend ordnet, sondern ihn ganz oder teilweise der Gemeinde zur Regelung überlässt und ihr dabei eine relativ erhebliche Entscheidungsfreiheit einräumt (BGE 124 I 223 E. 2b m.w.H.).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(BGE 124 I 223 E. 2b). Angesichts der formellen Natur von Wahl- und Abstimmungsvorschriften liegt es in der Natur der Sache, dass diese innerhalb eines Kantons weitgehend einheitlich geregelt sein müssen (vgl. BGE 109 Ia 41 E. 2c m.w.H. und zur Frage der Gemeindeautonomie in Bezug auf die Orientierung der Stimmberechtigten im Vorfeld oder an einer Gemeindeversammlung KGE VV vom 27. Juli 2016 [ 810 15 297] E. 2.5 ). Wie das Bundesgericht im vorliegend interessierenden Zusammenhang bereits festgehalten hat, handelt es sich beim Abstimmungsrecht geradezu um ein Beispiel für eine vom kantonalen Gesetzgeber abschliessend geregelte Materie; von einer relativ erheblichen Entscheidungsfreiheit könne hier keine Rede sein (vgl. BGE 109 Ia 41 E. 2c). Für die Umsetzung der Wahl- und Abstimmungsvorschriften kann die Beschwerdeführerin somit keine Autonomie beanspruchen, weshalb ein unzulässiger Eingriff in die Gemeindeautonomie verneint werden muss. Auch diese Rüge der Beschwerdeführerin geht somit ins Leere.</w:t>
      </w:r>
    </w:p>
    <w:p>
      <w:r>
        <w:rPr>
          <w:b/>
        </w:rPr>
        <w:t>E. 11</w:t>
      </w:r>
    </w:p>
    <w:p>
      <w:r>
        <w:t>Gestützt auf die vorstehenden Erwägungen erweist sich die Beschwerde in allen Punkten als unbegründet und ist deshalb abzuweisen.</w:t>
      </w:r>
    </w:p>
    <w:p>
      <w:r>
        <w:rPr>
          <w:b/>
        </w:rPr>
        <w:t>E. 12</w:t>
      </w:r>
    </w:p>
    <w:p>
      <w:r>
        <w:t>Es bleibt über die Kosten des Beschwerdeverfahrens zu befinden.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Fr. 1'400.-- der Beschwerdeführerin aufzuerlegen und mit dem geleisteten Kostenvorschuss in der Höhe von Fr. 1'400.-- zu verrechnen. Die Parteikosten sind wettzuschlagen (§ 21 Abs. 2 VPO). Demgemäss wird erkannt: ://: 1. Die Beschwerde wird abgewiesen. 2. Die Verfahrenskosten in der Höhe von Fr. 1‘400.-- werden der Beschwerdeführerin auferlegt und mit dem geleisteten Kostenvorschuss in der Höhe von Fr. 1‘400.-- verrechnet.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