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56 vom 11. Mai 2016</w:t>
      </w:r>
    </w:p>
    <w:p>
      <w:r>
        <w:t>BL Gerichte, 2016-05-11, DE</w:t>
      </w:r>
    </w:p>
    <w:p>
      <w:r>
        <w:rPr>
          <w:b/>
        </w:rPr>
        <w:t xml:space="preserve">Quelle: </w:t>
      </w:r>
      <w:r>
        <w:t>https://mcp.opencaselaw.ch/entscheid/bl_gerichte_810_16_56</w:t>
      </w:r>
    </w:p>
    <w:p>
      <w:r>
        <w:t>FR: BL_GERICHTE 810 16 56 du 11 mai 2016</w:t>
      </w:r>
    </w:p>
    <w:p>
      <w:r>
        <w:t>IT: BL_GERICHTE 810 16 56 del 11 maggio 2016</w:t>
      </w:r>
    </w:p>
    <w:p>
      <w:pPr>
        <w:pStyle w:val="Heading2"/>
      </w:pPr>
      <w:r>
        <w:t>Regeste</w:t>
      </w:r>
    </w:p>
    <w:p>
      <w:r>
        <w:t>Kindes- und Erwachsenenschutzrecht Entzug des Aufenthaltsbestimmungsrechts/Besuchsrecht</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Beschwerdeführerin hat dem Beschwerdegegner eine Parteientschädigung in der Höhe von Fr. 3'652.55 (inkl. Auslagen und 8% MWST) auszurichten. Zufolge Bewilligung der unentgeltlichen Verbeiständung und Uneinbringlichkeit der Parteientschädigung wird dem Rechtsvertreter des Beschwerdegegners ein Honorar in der Höhe von Fr. 3'652.55 (inkl. Auslagen und 8% MWST) aus der Gerichtskasse ausgerichtet.</w:t>
      </w:r>
    </w:p>
    <w:p>
      <w:r>
        <w:rPr>
          <w:b/>
        </w:rPr>
        <w:t>E. 4</w:t>
      </w:r>
    </w:p>
    <w:p>
      <w:r>
        <w:t>Zufolge Bewilligung der unentgeltlichen Verbeiständung wird dem Rechtsvertreter der Beschwerdeführerin ein Honorar in der Höhe von Fr. 3'085.55 (inkl. Auslagen und 8% MWST) aus der Gerichtskasse ausgerichtet. Vizepräsident Gerichtsschreiber Gegen diesen Entscheid wurde am 17. Juli 2016 Beschwerde beim Bundesgericht (Verfahrensnummer 5A_542/2016)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