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16 259 vom 30. November 2016</w:t>
      </w:r>
    </w:p>
    <w:p>
      <w:r>
        <w:t>BL Gerichte, 2016-11-30, DE</w:t>
      </w:r>
    </w:p>
    <w:p>
      <w:r>
        <w:rPr>
          <w:b/>
        </w:rPr>
        <w:t xml:space="preserve">Quelle: </w:t>
      </w:r>
      <w:r>
        <w:t>https://mcp.opencaselaw.ch/entscheid/bl_gerichte_810_16_259</w:t>
      </w:r>
    </w:p>
    <w:p>
      <w:r>
        <w:t>FR: BL_GERICHTE 810 16 259 du 30 novembre 2016</w:t>
      </w:r>
    </w:p>
    <w:p>
      <w:r>
        <w:t>IT: BL_GERICHTE 810 16 259 del 30 novembre 2016</w:t>
      </w:r>
    </w:p>
    <w:p>
      <w:pPr>
        <w:pStyle w:val="Heading2"/>
      </w:pPr>
      <w:r>
        <w:t>Regeste</w:t>
      </w:r>
    </w:p>
    <w:p>
      <w:r>
        <w:t>Kindes- und Erwachsenenschutzrecht Regelung des persönlichen Verkehrs, Massnahmen des Kindesschutzes</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 stehen (Ziff. 2) oder die ein rechtlich geschütztes Interesse an der Aufhebung oder Änderung des angefochtenen Entscheids haben (Ziff. 3). Der Beschwerdeführer ist als direkter Verfahrensbeteiligter und Kindsvater von D.____ zur Beschwerdeerhebung legitimiert. Da auch die übrigen Prozessvoraussetzungen nach Art. 450 ff. ZGB i.V.m. § 66 Abs. 2 EG ZGB und §§ 43 ff. des Gesetzes über die Verfassungs- und Verwaltungsprozessordnung (VPO) vom 16. Dezember 1993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w:t>
      </w:r>
    </w:p>
    <w:p>
      <w:r>
        <w:rPr>
          <w:b/>
        </w:rPr>
        <w:t>E. 3</w:t>
      </w:r>
    </w:p>
    <w:p>
      <w:r>
        <w:t>Die Parteikosten werden wettgeschlagen. Zufolge Bewilligung der unentgeltlichen Verbeiständung wird der Rechtsvertreterin des Beschwerdeführers ein Honorar in der Höhe von Fr. 671.75 (inkl. Auslagen und 8% MWST) und der Rechtsvertreterin der Beschwerdegegnerin ein Honorar in der Höhe von Fr. 2'060.10 (inkl. Auslagen und 8% MWST) aus der Gerichtskasse ausgerichtet.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