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16 109 vom 25. Juli 2018</w:t>
      </w:r>
    </w:p>
    <w:p>
      <w:r>
        <w:t>BL Gerichte, 2018-07-25, DE</w:t>
      </w:r>
    </w:p>
    <w:p>
      <w:r>
        <w:rPr>
          <w:b/>
        </w:rPr>
        <w:t xml:space="preserve">Quelle: </w:t>
      </w:r>
      <w:r>
        <w:t>https://mcp.opencaselaw.ch/entscheid/bl_gerichte_810_16_109</w:t>
      </w:r>
    </w:p>
    <w:p>
      <w:r>
        <w:t>FR: BL_GERICHTE 810 16 109 du 25 juillet 2018</w:t>
      </w:r>
    </w:p>
    <w:p>
      <w:r>
        <w:t>IT: BL_GERICHTE 810 16 109 del 25 luglio 2018</w:t>
      </w:r>
    </w:p>
    <w:p>
      <w:pPr>
        <w:pStyle w:val="Heading2"/>
      </w:pPr>
      <w:r>
        <w:t>Regeste</w:t>
      </w:r>
    </w:p>
    <w:p>
      <w:r>
        <w:t>Widerruf der Niederlassungsbewilligung und Wegweisung aus der Schweiz (RRB Nr. 489 vom 12. April 2016)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1‘400.-- werden dem Beschwerdeführer auferlegt. Zufolge Bewilligung der unentgeltlichen Prozessführung gehen die Verfahrenskosten zu Lasten der Gerichtskasse.</w:t>
      </w:r>
    </w:p>
    <w:p>
      <w:r>
        <w:rPr>
          <w:b/>
        </w:rPr>
        <w:t>E. 3</w:t>
      </w:r>
    </w:p>
    <w:p>
      <w:r>
        <w:t>Die Parteikosten werden wettgeschlagen. Zufolge Bewilligung der unentgeltlichen Verbeiständung wird der Rechtsvertreterin des Beschwerdeführers ein Honorar in der Höhe von Fr. 3‘725.45 (inkl. Auslagen und 7.7% resp. 8% MWSt) aus der Gerichtskasse ausgerichtet. Präsidentin Gerichtsschreiber i.V. Gegen diesen Entscheid wurde am 11. September 2018 Beschwerde beim Bundesgericht (Verfahrensnummer 2C_786/2018)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