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15 74 vom 15. Februar 1999</w:t>
      </w:r>
    </w:p>
    <w:p>
      <w:r>
        <w:t>BL Gerichte, 1999-02-15, DE</w:t>
      </w:r>
    </w:p>
    <w:p>
      <w:r>
        <w:rPr>
          <w:b/>
        </w:rPr>
        <w:t xml:space="preserve">Quelle: </w:t>
      </w:r>
      <w:r>
        <w:t>https://mcp.opencaselaw.ch/entscheid/bl_gerichte_810_15_74</w:t>
      </w:r>
    </w:p>
    <w:p>
      <w:r>
        <w:t>FR: BL_GERICHTE 810 15 74 du 15 février 1999</w:t>
      </w:r>
    </w:p>
    <w:p>
      <w:r>
        <w:t>IT: BL_GERICHTE 810 15 74 del 15 febbraio 1999</w:t>
      </w:r>
    </w:p>
    <w:p>
      <w:pPr>
        <w:pStyle w:val="Heading2"/>
      </w:pPr>
      <w:r>
        <w:t>Regeste</w:t>
      </w:r>
    </w:p>
    <w:p>
      <w:r>
        <w:t>Steuern und Kausalabgaben Direkte Bundessteuer 2005/Kapitalabfindung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der Entscheid des Steuergerichts vom 24. Oktober 2014 aufgehoben.</w:t>
      </w:r>
    </w:p>
    <w:p>
      <w:r>
        <w:rPr>
          <w:b/>
        </w:rPr>
        <w:t>E. 2</w:t>
      </w:r>
    </w:p>
    <w:p>
      <w:r>
        <w:t>Die steuer- und kantonsgerichtlichen Verfahrenskosten gehen zu Lasten der Gerichtskasse. Der ans Kantonsgericht geleistete Kostenvorschuss in der Höhe von Fr. 1‘400.-- wird der Beschwerdeführerin zurückerstattet.</w:t>
      </w:r>
    </w:p>
    <w:p>
      <w:r>
        <w:rPr>
          <w:b/>
        </w:rPr>
        <w:t>E. 3</w:t>
      </w:r>
    </w:p>
    <w:p>
      <w:r>
        <w:t>Die Parteikosten werden wettgeschlagen. Vizepräsident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