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15 336 vom 8. Juni 2016</w:t>
      </w:r>
    </w:p>
    <w:p>
      <w:r>
        <w:t>BL Gerichte, 2016-06-08, DE</w:t>
      </w:r>
    </w:p>
    <w:p>
      <w:r>
        <w:rPr>
          <w:b/>
        </w:rPr>
        <w:t xml:space="preserve">Quelle: </w:t>
      </w:r>
      <w:r>
        <w:t>https://mcp.opencaselaw.ch/entscheid/bl_gerichte_810_15_336</w:t>
      </w:r>
    </w:p>
    <w:p>
      <w:r>
        <w:t>FR: BL_GERICHTE 810 15 336 du 8 juin 2016</w:t>
      </w:r>
    </w:p>
    <w:p>
      <w:r>
        <w:t>IT: BL_GERICHTE 810 15 336 del 8 giugno 2016</w:t>
      </w:r>
    </w:p>
    <w:p>
      <w:pPr>
        <w:pStyle w:val="Heading2"/>
      </w:pPr>
      <w:r>
        <w:t>Regeste</w:t>
      </w:r>
    </w:p>
    <w:p>
      <w:r>
        <w:t>Kindes- und Erwachsenenschutzrecht Regelung des persönlichen Verkehrs mit der Grossmutter väterlicherseits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1'400.-- werden der Beschwerdeführerin auferlegt und mit dem geleisteten Kostenvorschuss in der Höhe von Fr. 1'400.-- verrechnet.</w:t>
      </w:r>
    </w:p>
    <w:p>
      <w:r>
        <w:rPr>
          <w:b/>
        </w:rPr>
        <w:t>E. 3</w:t>
      </w:r>
    </w:p>
    <w:p>
      <w:r>
        <w:t>Die Beschwerdeführerin hat der Beschwerdegegnerin eine Parteientschädigung in der Höhe von Fr. 608.-- (inkl. Auslagen und 8% MWST) zu bezahlen. Die übrigen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