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15 279 vom 25. Mai 2016</w:t>
      </w:r>
    </w:p>
    <w:p>
      <w:r>
        <w:t>BL Gerichte, 2016-05-25, DE</w:t>
      </w:r>
    </w:p>
    <w:p>
      <w:r>
        <w:rPr>
          <w:b/>
        </w:rPr>
        <w:t xml:space="preserve">Quelle: </w:t>
      </w:r>
      <w:r>
        <w:t>https://mcp.opencaselaw.ch/entscheid/bl_gerichte_810_15_279</w:t>
      </w:r>
    </w:p>
    <w:p>
      <w:r>
        <w:t>FR: BL_GERICHTE 810 15 279 du 25 mai 2016</w:t>
      </w:r>
    </w:p>
    <w:p>
      <w:r>
        <w:t>IT: BL_GERICHTE 810 15 279 del 25 maggio 2016</w:t>
      </w:r>
    </w:p>
    <w:p>
      <w:pPr>
        <w:pStyle w:val="Heading2"/>
      </w:pPr>
      <w:r>
        <w:t>Regeste</w:t>
      </w:r>
    </w:p>
    <w:p>
      <w:r>
        <w:t>Steuerrecht Staatssteuer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 § 131 Abs. 1 StG können Entscheide des Steuergerichts mit Verwaltungsgerichtsbeschwerde beim Kantonsgericht als letzte kantonale Instanz angefochten werden. Gemäss § 131 Abs. 2 lit. c StG ist die kantonale Steuerverwaltung zur Beschwerde befugt. Die weiteren formellen Voraussetzungen nach den §§ 43 ff. des Gesetzes über die Verfassungs- und Verwaltungsprozessordnung (VPO) vom 16. Dezember 1993 sind erfüllt, sodass auf die Beschwerde einzutreten ist.</w:t>
      </w:r>
    </w:p>
    <w:p>
      <w:r>
        <w:rPr>
          <w:b/>
        </w:rPr>
        <w:t>E. 2</w:t>
      </w:r>
    </w:p>
    <w:p>
      <w:r>
        <w:t>Mit der Beschwerde in Steuersachen können gemäss § 45 Abs. 2 VPO alle Mängel des angefochtenen Entscheids und des vorangegangenen Verfahrens gerügt werden. Das Kantonsgericht prüft somit den vorliegend angefochtenen Entscheid mit voller Kognition.</w:t>
      </w:r>
    </w:p>
    <w:p>
      <w:r>
        <w:rPr>
          <w:b/>
        </w:rPr>
        <w:t>E. 3</w:t>
      </w:r>
    </w:p>
    <w:p>
      <w:r>
        <w:t>Die Beschwerdeführerin hat der Beschwerdegegnerin eine Parteientschädigung in der Höhe von Fr. 5‘704.-- (inkl. Auslagen und 8% MWSt) auszurichten. Im Übrigen werden die Parteikosten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