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15 238 vom 29. Juni 2016</w:t>
      </w:r>
    </w:p>
    <w:p>
      <w:r>
        <w:t>BL Gerichte, 2016-06-29, DE</w:t>
      </w:r>
    </w:p>
    <w:p>
      <w:r>
        <w:rPr>
          <w:b/>
        </w:rPr>
        <w:t xml:space="preserve">Quelle: </w:t>
      </w:r>
      <w:r>
        <w:t>https://mcp.opencaselaw.ch/entscheid/bl_gerichte_810_15_238</w:t>
      </w:r>
    </w:p>
    <w:p>
      <w:r>
        <w:t>FR: BL_GERICHTE 810 15 238 du 29 juin 2016</w:t>
      </w:r>
    </w:p>
    <w:p>
      <w:r>
        <w:t>IT: BL_GERICHTE 810 15 238 del 29 giugno 2016</w:t>
      </w:r>
    </w:p>
    <w:p>
      <w:pPr>
        <w:pStyle w:val="Heading2"/>
      </w:pPr>
      <w:r>
        <w:t>Regeste</w:t>
      </w:r>
    </w:p>
    <w:p>
      <w:r>
        <w:t>Erziehung und Kultur Absenzeneintrag im Zeugnis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1‘400.-- werden dem Beschwerdeführer auferlegt und mit dem geleisteten Kostenvorschuss in der Höhe von Fr. 1‘400.-- verrechnet.</w:t>
      </w:r>
    </w:p>
    <w:p>
      <w:r>
        <w:rPr>
          <w:b/>
        </w:rPr>
        <w:t>E. 3</w:t>
      </w:r>
    </w:p>
    <w:p>
      <w:r>
        <w:t>Die Parteikosten werden wettgeschlagen. Vorsitzender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