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15 202 vom 21. September 2016</w:t>
      </w:r>
    </w:p>
    <w:p>
      <w:r>
        <w:t>BL Gerichte, 2016-09-21, DE</w:t>
      </w:r>
    </w:p>
    <w:p>
      <w:r>
        <w:rPr>
          <w:b/>
        </w:rPr>
        <w:t xml:space="preserve">Quelle: </w:t>
      </w:r>
      <w:r>
        <w:t>https://mcp.opencaselaw.ch/entscheid/bl_gerichte_810_15_202</w:t>
      </w:r>
    </w:p>
    <w:p>
      <w:r>
        <w:t>FR: BL_GERICHTE 810 15 202 du 21 septembre 2016</w:t>
      </w:r>
    </w:p>
    <w:p>
      <w:r>
        <w:t>IT: BL_GERICHTE 810 15 202 del 21 settembre 2016</w:t>
      </w:r>
    </w:p>
    <w:p>
      <w:pPr>
        <w:pStyle w:val="Heading2"/>
      </w:pPr>
      <w:r>
        <w:t>Regeste</w:t>
      </w:r>
    </w:p>
    <w:p>
      <w:r>
        <w:t>Widerruf der Niederlassungsbewilligung und Ausreise aus der Schweiz; die öffentlichen Interessen an der Beendigung des Aufenthalts des Beschwerdeführers in der Schweiz überwiegen seine privaten Interessen am Verbleib in der Schweiz nicht; Abweisung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Der Beschwerdeführer ist vom angefochtenen Entscheid berührt und hat ein schutzwürdiges Interesse an dessen Aufhebung. Auch die weiteren formellen Voraussetzungen sind erfüllt, sodass auf die Beschwerde eingetreten werden kann.</w:t>
      </w:r>
    </w:p>
    <w:p>
      <w:r>
        <w:rPr>
          <w:b/>
        </w:rPr>
        <w:t>E. 2</w:t>
      </w:r>
    </w:p>
    <w:p>
      <w:r>
        <w:t>Mit verwaltungsgerichtlicher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Die Verfahrenskosten in der Höhe von Fr. 1'400.-- werden dem Beschwerdeführer auferlegt und mit dem geleisteten Kostenvorschuss in der Höhe von Fr. 1'400.-- verrechnet.</w:t>
      </w:r>
    </w:p>
    <w:p>
      <w:r>
        <w:rPr>
          <w:b/>
        </w:rPr>
        <w:t>E. 4</w:t>
      </w:r>
    </w:p>
    <w:p>
      <w:r>
        <w:t>Die Parteikosten werden wettgeschlagen. Präsidentin Gerichtsschreiberin i.V. Gegen diesen Entscheid wurde am 8. Dezember 2016 Beschwerde beim Bundesgericht erhoben (Verfahrensnummer 2C_1133/2016).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