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15 111 vom 30. September 2015</w:t>
      </w:r>
    </w:p>
    <w:p>
      <w:r>
        <w:t>BL Gerichte, 2015-09-30, DE</w:t>
      </w:r>
    </w:p>
    <w:p>
      <w:r>
        <w:rPr>
          <w:b/>
        </w:rPr>
        <w:t xml:space="preserve">Quelle: </w:t>
      </w:r>
      <w:r>
        <w:t>https://mcp.opencaselaw.ch/entscheid/bl_gerichte_810_15_111</w:t>
      </w:r>
    </w:p>
    <w:p>
      <w:r>
        <w:t>FR: BL_GERICHTE 810 15 111 du 30 septembre 2015</w:t>
      </w:r>
    </w:p>
    <w:p>
      <w:r>
        <w:t>IT: BL_GERICHTE 810 15 111 del 30 settembre 2015</w:t>
      </w:r>
    </w:p>
    <w:p>
      <w:pPr>
        <w:pStyle w:val="Heading2"/>
      </w:pPr>
      <w:r>
        <w:t>Regeste</w:t>
      </w:r>
    </w:p>
    <w:p>
      <w:r>
        <w:t>Regelung der elterlichen 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Einsprache der Beschwerdeführerin um Bewilligung der unentgeltlichen Rechtspflege wird abgewiesen.</w:t>
      </w:r>
    </w:p>
    <w:p>
      <w:r>
        <w:rPr>
          <w:b/>
        </w:rPr>
        <w:t>E. 3</w:t>
      </w:r>
    </w:p>
    <w:p>
      <w:r>
        <w:t>Der Beschwerdeführerin werden die Verfahrenskosten in der Höhe von Fr. 1‘400.-- auferlegt.</w:t>
      </w:r>
    </w:p>
    <w:p>
      <w:r>
        <w:rPr>
          <w:b/>
        </w:rPr>
        <w:t>E. 4</w:t>
      </w:r>
    </w:p>
    <w:p>
      <w:r>
        <w:t>Die Beschwerdeführerin hat dem Beschwerdegegner eine Parteientschädigung in der Höhe von Fr. 4‘352.40 (inkl. Auslagen und 8 % MWSt) auszurichten. Zufolge Bewilligung der unentgeltlichen Verbeiständung und Uneinbringlichkeit der Parteientschädigung wird der Rechtsvertreterin des Beschwerdegegners ein Honorar in der Höhe von Fr. 4‘352.40 (inkl. Auslagen und 8 % MWSt) aus der Gerichtskasse ausgerichtet. Vizepräsident Gerichtsschreiberin Gegen diesen Entscheid wurde am 30. November 2015 Beschwerde beim Bundesgericht (Verfahrensnummer 5A_955/2015)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