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2022 302 / 106 vom 7. Juli 2022</w:t>
      </w:r>
    </w:p>
    <w:p>
      <w:r>
        <w:t>BL Gerichte, 2022-07-07, DE</w:t>
      </w:r>
    </w:p>
    <w:p>
      <w:r>
        <w:rPr>
          <w:b/>
        </w:rPr>
        <w:t xml:space="preserve">Quelle: </w:t>
      </w:r>
      <w:r>
        <w:t>https://mcp.opencaselaw.ch/entscheid/bl_gerichte_750_2022_302___106</w:t>
      </w:r>
    </w:p>
    <w:p>
      <w:r>
        <w:t>FR: BL_GERICHTE 750 2022 302 / 106 du 7 juillet 2022</w:t>
      </w:r>
    </w:p>
    <w:p>
      <w:r>
        <w:t>IT: BL_GERICHTE 750 2022 302 / 106 del 7 luglio 2022</w:t>
      </w:r>
    </w:p>
    <w:p>
      <w:pPr>
        <w:pStyle w:val="Heading2"/>
      </w:pPr>
      <w:r>
        <w:t>Regeste</w:t>
      </w:r>
    </w:p>
    <w:p>
      <w:r>
        <w:t>Betreuungsentschädigung</w:t>
      </w:r>
    </w:p>
    <w:p>
      <w:pPr>
        <w:pStyle w:val="Heading2"/>
      </w:pPr>
      <w:r>
        <w:t>Erwägungen</w:t>
      </w:r>
    </w:p>
    <w:p>
      <w:r>
        <w:rPr>
          <w:b/>
        </w:rPr>
        <w:t>E. 1</w:t>
      </w:r>
    </w:p>
    <w:p>
      <w:r>
        <w:t>Da sämtliche Sachurteilsvoraussetzungen erfüllt sind, ist auf die frist- und formgerecht beim sachlich wie örtlich zuständigen Gericht eingereichte Beschwerde vom 27. Oktober 2022 einzutreten. 2.1 Am 1. Juli 2021 traten die Art. 16n-16s des Bundesgesetzes über den Erwerbsersatz (EOG) vom 25. September 1952 in Kraft, welche die Entschädigung für Eltern regeln, die ein wegen Krankheit oder Unfall gesundheitlich schwer beeinträchtigtes Kind betreuen. Gemäss Art. 16n Abs. 1 lit a und b Ziff. 1-3 EOG sind Eltern eines minderjährigen Kindes anspruchsberechtigt, welche die Erwerbstätigkeit für die Betreuung des Kindes unterbrechen und die im Zeitpunkt der Unterbrechung der Erwerbstätigkeit Arbeitnehmende (Art. 10 ATSG) oder Selbstständigerwerbende (Artikel 12 ATSG) sind oder im Betrieb des Ehemanns oder der Ehefrau mitarbeiten und einen Barlohn beziehen. 2.2 Laut Art. 16o lit. ad EOG ist ein Kind gesundheitlich schwer beeinträchtigt, wenn eine einschneidende Veränderung seines körperlichen oder psychischen Zustands eingetreten ist, der Verlauf oder der Ausgang dieser Veränderung schwer vorhersehbar ist oder mit einer bleibenden oder zunehmenden Beeinträchtigung oder dem Tod zu rechnen ist, ein erhöhter Bedarf an Betreuung durch die Eltern besteht und mindestens ein Elternteil die Erwerbstätigkeit für die Betreuung des Kindes unterbrechen muss. Eine Behinderung oder ein Geburtsgebrechen an sich gilt nicht als schwere gesundheitliche Beeinträchtigung im Sinne des Gesetzes. Es besteht deshalb kein Anspruch auf die Betreuungsentschädigung, wenn der Gesundheitszustand des beeinträchtigten Kindes stabil ist. Eltern beeinträchtigter Kinder können deshalb nur Anspruch auf die Betreuungsentschädigung haben, wenn es dem Kind akut schlechter geht, das heisst, wenn die in Art. 16o EOG erwähnten Kriterien erfüllt sind (vgl. Rz. 1037.2 des Kreisschreibens über die Betreuungsentschädigung [KS BUE, in der hier anwendbaren ab 1. Januar 2022 gültigen Fassung]; vgl. auch Botschaft vom 22. Mai 2019 zum Bundesgesetz über die Verbesserung der Vereinbarkeit von Erwerbstätigkeit und Angehörigenbetreuung, BBl 2019 4146, 4147). 2.3 Um die Schwere einer Erkrankung und deren Auswirkungen festzustellen, ist die Verwaltung (und im Beschwerdefall das Gericht) auf Unterlagen angewiesen, die Ärztinnen oder Ärzte und gegebenenfalls auch andere Fachleute zur Verfügung zu stellen haben. Der Entscheid, ob ein Anspruch auf eine Leistung besteht, hat jedoch aus juristischer Sicht unter Würdigung der ärztlichen Unterlagen und unter Berücksichtigung der Rechtslage zu erfolgen (BGE 125 V 256 E. 4, BGE 132 V 93 E. 4, BGE 140 V 193 E. 3.2, BGE 141 V 281 E. 5.2.1). Hieran nichts zu ändern vermag Rz. 1032 KS BUE, wonach die Ausgleichskasse grundsätzlich an die Bescheinigung der Ärztin oder des Arztes gebunden ist, findet sich doch weder im EOG noch in der Erwerbsersatzverordnung (EOV) vom 24. November 2004 eine Grundlage dafür, dass die Verwaltung nur eine eingeschränkte Beweiswürdigung vornehmen dürfte. Der Zweck dieser verwaltungsinternen Weisung besteht denn auch nicht darin, das Recht der Verwaltung, den Sachverhalt abzuklären, einzuschränken, sondern er ist vielmehr darin zu sehen, die Verwaltung im Zusammenhang mit vorübergehenden Leistungen aus Gründen der Prozessökonomie von der Pflicht eingehender eigener medizinischer Abklärungen zu entlasten, sofern keine berechtigten Zweifel an der Richtigkeit des ärztlichen Attests bestehen (vgl. Urteil des Sozialversicherungsgerichts des Kantons Zürich vom 21. Oktober 2022, EO.2022.00002, E. 5.1). Hat die Ausgleichskasse z.B. aufgrund von weiteren Unterlagen berechtigte Zweifel an der Richtigkeit des ärztlichen Attests und/oder an der Schwere der gesundheitlichen Beeinträchtigung, kann sie das Dossier dem BSV unterbreiten (KS BUE Rz. 1032). 2.4 Für den Bezug der Betreuungsentschädigung gilt eine Rahmenfrist von 18 Monaten. Die Rahmenfrist beginnt mit dem Tag, für den das erste Taggeld bezogen wird. Der Anspruch entsteht, wenn die Voraussetzungen nach Artikel 16n erfüllt sind (Art. 16p Abs. 1-3 EOG). Er endet nach Ablauf der Rahmenfrist oder nach Ausschöpfung der Taggelder. Er endet vorzeitig, wenn die Voraussetzungen nicht mehr erfüllt sind; er endet jedoch nicht vorzeitig, wenn das Kind während der Rahmenfrist volljährig wird (Art. 16p Abs. 4 und 5). Gemäss Art. 16q Abs. 1 EOG wird die Betreuungsentschädigung als Taggeld ausgerichtet. Es beträgt 80 % des durchschnittlichen Erwerbseinkommens, das vor Beginn des Anspruchs auf die Betreuungsentschädigung erzielt wurde. Für die Ermittlung des Einkommens ist Art. 11 Abs. 1 EOG sinngemäss anwendbar. Für den Höchstbetrag gilt Art. 16f EOG sinngemäss (Art. 16r Abs. 1-3 EOG). Der Bezug der Betreuungsentschädigung geht den Taggeldern der Arbeitslosen-, der Invaliden-, der Unfall- und der Militärversicherung vor (Art. 16s Abs. 1 lit. ad EOG). Die Mutterschaftsentschädigung schliesst den Bezug der Betreuungsentschädigung nach den Art. 16n-16s EOG für dasselbe Kind aus (Art. 16g Abs. 1 lit. f EOG). 3.1 Ausgangspunkt jeder Auslegung des Gesetzes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142 V 442 E. 5.1, 141 V 221 E. 5.2.1, 140 V 449 E. 4.2). 3.2 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mit Hinweisen).</w:t>
      </w:r>
    </w:p>
    <w:p>
      <w:r>
        <w:rPr>
          <w:b/>
        </w:rPr>
        <w:t>E. 4</w:t>
      </w:r>
    </w:p>
    <w:p>
      <w:r>
        <w:t>Die Beschwerdegegnerin hat der Beschwerdeführerin eine Parteientschädigung in Höhe von Fr. 1’922.45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