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16 320 vom 7. Februar 2017</w:t>
      </w:r>
    </w:p>
    <w:p>
      <w:r>
        <w:t>BL Gerichte, 2017-02-07, DE</w:t>
      </w:r>
    </w:p>
    <w:p>
      <w:r>
        <w:rPr>
          <w:b/>
        </w:rPr>
        <w:t xml:space="preserve">Quelle: </w:t>
      </w:r>
      <w:r>
        <w:t>https://mcp.opencaselaw.ch/entscheid/bl_gerichte_750_16_320</w:t>
      </w:r>
    </w:p>
    <w:p>
      <w:r>
        <w:t>FR: BL_GERICHTE 750 16 320 du 7 février 2017</w:t>
      </w:r>
    </w:p>
    <w:p>
      <w:r>
        <w:t>IT: BL_GERICHTE 750 16 320 del 7 febbraio 2017</w:t>
      </w:r>
    </w:p>
    <w:p>
      <w:pPr>
        <w:pStyle w:val="Heading2"/>
      </w:pPr>
      <w:r>
        <w:t>Regeste</w:t>
      </w:r>
    </w:p>
    <w:p>
      <w:r>
        <w:t>Erwerbsersatzversicherung Gutheissung der Beschwerde. Der Beschwerdeführer hat glaubhaft gemacht, dass er eine Arbeitsstelle von längerer Dauer als Fachmann Betreuung aufgenommen hätte, wenn er nicht hätte einrücken müssen. Die Beschwerdegegnerin hat demnach zu Unrecht auf das vordienstliche Lehrlingseinkommen abgestellt und den Mindestansatz von Fr. 62.-- pro Diensttag angewendet. Grundlage für die Berechnung der Erwerbsersatz-Entschädigung ist der Lohn, der dem Versicherten entgangen ist bzw.</w:t>
      </w:r>
    </w:p>
    <w:p>
      <w:pPr>
        <w:pStyle w:val="Heading2"/>
      </w:pPr>
      <w:r>
        <w:t>Erwägungen</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