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750 16 110 vom 5. September 2016</w:t>
      </w:r>
    </w:p>
    <w:p>
      <w:r>
        <w:t>BL Gerichte, 2016-09-05, DE</w:t>
      </w:r>
    </w:p>
    <w:p>
      <w:r>
        <w:rPr>
          <w:b/>
        </w:rPr>
        <w:t xml:space="preserve">Quelle: </w:t>
      </w:r>
      <w:r>
        <w:t>https://mcp.opencaselaw.ch/entscheid/bl_gerichte_750_16_110</w:t>
      </w:r>
    </w:p>
    <w:p>
      <w:r>
        <w:t>FR: BL_GERICHTE 750 16 110 du 5 septembre 2016</w:t>
      </w:r>
    </w:p>
    <w:p>
      <w:r>
        <w:t>IT: BL_GERICHTE 750 16 110 del 5 settembre 2016</w:t>
      </w:r>
    </w:p>
    <w:p>
      <w:pPr>
        <w:pStyle w:val="Heading2"/>
      </w:pPr>
      <w:r>
        <w:t>Regeste</w:t>
      </w:r>
    </w:p>
    <w:p>
      <w:r>
        <w:t>Erwerbsersatzversicherung Abweisung der Beschwerde. Die Ausgleichskasse hat zur Bemessung der Erwerbsersatz-Entschädigung für den Zivildienst zu Recht auf das vordienstliche Einkommen des Beschwerdeführers abgestellt.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Gegen diesen Entscheid wurde vom Versicherten am 15. Oktober 2016 Beschwerde beim Bundesgericht (siehe nach Vorliegen des Urteils: Verfahren-Nr. 9C_693/2016)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