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745 20 450/103 vom 29. Januar 2014</w:t>
      </w:r>
    </w:p>
    <w:p>
      <w:r>
        <w:t>BL Gerichte, 2014-01-29, DE</w:t>
      </w:r>
    </w:p>
    <w:p>
      <w:r>
        <w:rPr>
          <w:b/>
        </w:rPr>
        <w:t xml:space="preserve">Quelle: </w:t>
      </w:r>
      <w:r>
        <w:t>https://mcp.opencaselaw.ch/entscheid/bl_gerichte_745_20_450_103</w:t>
      </w:r>
    </w:p>
    <w:p>
      <w:r>
        <w:t>FR: BL_GERICHTE 745 20 450/103 du 29 janvier 2014</w:t>
      </w:r>
    </w:p>
    <w:p>
      <w:r>
        <w:t>IT: BL_GERICHTE 745 20 450/103 del 29 gennaio 2014</w:t>
      </w:r>
    </w:p>
    <w:p>
      <w:pPr>
        <w:pStyle w:val="Heading2"/>
      </w:pPr>
      <w:r>
        <w:t>Regeste</w:t>
      </w:r>
    </w:p>
    <w:p>
      <w:r>
        <w:t>Krankheitskosten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Sachurteilsvoraussetzungen sind erfüllt, sodass auf die Beschwerde eingetreten werden kann. Anzumerken bleibt, dass der Streitwert unter Fr. 20'000.-- liegt. Gestützt auf § 55 Abs. 1 der Verfassungs- und Verwaltungsprozessordnung (VPO) vom 16. Dezember 1993 ist die vorliegende Streitigkeit demnach präsidial zu entscheiden.</w:t>
      </w:r>
    </w:p>
    <w:p>
      <w:r>
        <w:rPr>
          <w:b/>
        </w:rPr>
        <w:t>E. 2</w:t>
      </w:r>
    </w:p>
    <w:p>
      <w:r>
        <w:t>Es werden keine Verfahrenskosten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