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745 2008 199 vom 6. Februar 2009</w:t>
      </w:r>
    </w:p>
    <w:p>
      <w:r>
        <w:t>BL Gerichte, 2009-02-06, DE</w:t>
      </w:r>
    </w:p>
    <w:p>
      <w:r>
        <w:rPr>
          <w:b/>
        </w:rPr>
        <w:t xml:space="preserve">Quelle: </w:t>
      </w:r>
      <w:r>
        <w:t>https://mcp.opencaselaw.ch/entscheid/bl_gerichte_745_2008_199</w:t>
      </w:r>
    </w:p>
    <w:p>
      <w:r>
        <w:t>FR: BL_GERICHTE 745 2008 199 du 6 février 2009</w:t>
      </w:r>
    </w:p>
    <w:p>
      <w:r>
        <w:t>IT: BL_GERICHTE 745 2008 199 del 6 febbraio 2009</w:t>
      </w:r>
    </w:p>
    <w:p>
      <w:pPr>
        <w:pStyle w:val="Heading2"/>
      </w:pPr>
      <w:r>
        <w:t>Regeste</w:t>
      </w:r>
    </w:p>
    <w:p>
      <w:r>
        <w:t>Beschwerdelegitimation der Schwiegertochter (Art. 59 ATSG, E. 1).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(Kostenentscheid) KGE SV vom 6. Februar 2009 i.S. S. (745 08 199)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