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745 16 59 vom 28. April 2016</w:t>
      </w:r>
    </w:p>
    <w:p>
      <w:r>
        <w:t>BL Gerichte, 2016-04-28, DE</w:t>
      </w:r>
    </w:p>
    <w:p>
      <w:r>
        <w:rPr>
          <w:b/>
        </w:rPr>
        <w:t xml:space="preserve">Quelle: </w:t>
      </w:r>
      <w:r>
        <w:t>https://mcp.opencaselaw.ch/entscheid/bl_gerichte_745_16_59</w:t>
      </w:r>
    </w:p>
    <w:p>
      <w:r>
        <w:t>FR: BL_GERICHTE 745 16 59 du 28 avril 2016</w:t>
      </w:r>
    </w:p>
    <w:p>
      <w:r>
        <w:t>IT: BL_GERICHTE 745 16 59 del 28 aprile 2016</w:t>
      </w:r>
    </w:p>
    <w:p>
      <w:pPr>
        <w:pStyle w:val="Heading2"/>
      </w:pPr>
      <w:r>
        <w:t>Regeste</w:t>
      </w:r>
    </w:p>
    <w:p>
      <w:r>
        <w:t>Ergänzungsleistungen Anrechnung eines Verzichtsvermögens gemäss Art. 17a ELV wegen Aufgabe des Nutzniessungsrechts an einer Liegenschaft verneint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der angefochtene Entscheid der Ausgleichskasse Basel-Landschaft vom 29. Januar 2016 aufgehoben wird. Es wird festgestellt, dass der Beschwerdeführerin ab Januar 2016 monatliche Ergänzungsleistungen in der Höhe von Fr. 1‘287.- zustehen.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