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16 236/337 vom 15. Dezember 2016</w:t>
      </w:r>
    </w:p>
    <w:p>
      <w:r>
        <w:t>BL Gerichte, 2016-12-15, DE</w:t>
      </w:r>
    </w:p>
    <w:p>
      <w:r>
        <w:rPr>
          <w:b/>
        </w:rPr>
        <w:t xml:space="preserve">Quelle: </w:t>
      </w:r>
      <w:r>
        <w:t>https://mcp.opencaselaw.ch/entscheid/bl_gerichte_745_16_236_337</w:t>
      </w:r>
    </w:p>
    <w:p>
      <w:r>
        <w:t>FR: BL_GERICHTE 745 16 236/337 du 15 décembre 2016</w:t>
      </w:r>
    </w:p>
    <w:p>
      <w:r>
        <w:t>IT: BL_GERICHTE 745 16 236/337 del 15 dicembre 2016</w:t>
      </w:r>
    </w:p>
    <w:p>
      <w:pPr>
        <w:pStyle w:val="Heading2"/>
      </w:pPr>
      <w:r>
        <w:t>Regeste</w:t>
      </w:r>
    </w:p>
    <w:p>
      <w:r>
        <w:t>Ergänzungsleistungen Rückweisung der Angelegenheit an die Ausgleichskasse, da diese ihren Standpunkt bis anhin nur unzureichend begründet hat, was eine Verletzung des Anspruchs des Beschwerdeführers auf rechtliches Gehör darstellt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