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25 154 vom 21. November 2025</w:t>
      </w:r>
    </w:p>
    <w:p>
      <w:r>
        <w:t>BL Gerichte, 2025-11-21, DE</w:t>
      </w:r>
    </w:p>
    <w:p>
      <w:r>
        <w:rPr>
          <w:b/>
        </w:rPr>
        <w:t xml:space="preserve">Quelle: </w:t>
      </w:r>
      <w:r>
        <w:t>https://mcp.opencaselaw.ch/entscheid/bl_gerichte_735_25_154</w:t>
      </w:r>
    </w:p>
    <w:p>
      <w:r>
        <w:t>FR: BL_GERICHTE 735 25 154 du 21 novembre 2025</w:t>
      </w:r>
    </w:p>
    <w:p>
      <w:r>
        <w:t>IT: BL_GERICHTE 735 25 154 del 21 novembre 2025</w:t>
      </w:r>
    </w:p>
    <w:p>
      <w:pPr>
        <w:pStyle w:val="Heading2"/>
      </w:pPr>
      <w:r>
        <w:t>Regeste</w:t>
      </w:r>
    </w:p>
    <w:p>
      <w:r>
        <w:t>Konventionalstrafe für ausgebliebene Lohnsummenmeldung, Wiederholungsfall. Mutwillige Prozessführung bejaht.</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erreicht die klageweise geltend gemachte Forderung diese Streitwertgrenze nicht. Die Beurteilung der vorliegenden Klage fällt demnach in die Kompetenz der präsidierenden Person der Abteilung Sozialversicherungsrecht des Kantonsgerichts.</w:t>
      </w:r>
    </w:p>
    <w:p>
      <w:r>
        <w:rPr>
          <w:b/>
        </w:rPr>
        <w:t>E. 3</w:t>
      </w:r>
    </w:p>
    <w:p>
      <w:r>
        <w:t>Der Beklagte hat der Klägerin die Kosten des Zahlungsbefehls Nr. X. des Betreibungsamtes Basel-Landschaft vom 14. Februar 2025 in der Höhe von Fr. 74.— zu bezahlen.</w:t>
      </w:r>
    </w:p>
    <w:p>
      <w:r>
        <w:rPr>
          <w:b/>
        </w:rPr>
        <w:t>E. 4</w:t>
      </w:r>
    </w:p>
    <w:p>
      <w:r>
        <w:t>Dem Beklagten werden Verfahrenskosten in Höhe von Fr. 400.— auferlegt.</w:t>
      </w:r>
    </w:p>
    <w:p>
      <w:r>
        <w:rPr>
          <w:b/>
        </w:rPr>
        <w:t>E. 5</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